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rPr>
          <w:rFonts w:hAnsi="宋体"/>
          <w:b/>
          <w:sz w:val="28"/>
          <w:szCs w:val="28"/>
        </w:rPr>
      </w:pPr>
      <w:r>
        <w:rPr>
          <w:rFonts w:hAnsi="宋体"/>
          <w:b/>
          <w:sz w:val="28"/>
          <w:szCs w:val="28"/>
        </w:rPr>
        <w:t>前中国教育部部长周济鼎力推荐的大学</w:t>
      </w:r>
    </w:p>
    <w:p>
      <w:pPr>
        <w:keepNext w:val="0"/>
        <w:keepLines w:val="0"/>
        <w:widowControl/>
        <w:suppressLineNumbers w:val="0"/>
        <w:jc w:val="left"/>
        <w:rPr>
          <w:rFonts w:hint="eastAsia" w:hAnsi="宋体" w:eastAsia="宋体"/>
          <w:b/>
          <w:sz w:val="28"/>
          <w:szCs w:val="28"/>
          <w:lang w:eastAsia="zh-CN"/>
        </w:rPr>
      </w:pPr>
      <w:r>
        <w:rPr>
          <w:rFonts w:hint="eastAsia" w:hAnsi="宋体" w:eastAsia="宋体"/>
          <w:b/>
          <w:sz w:val="28"/>
          <w:szCs w:val="28"/>
          <w:lang w:eastAsia="zh-CN"/>
        </w:rPr>
        <w:drawing>
          <wp:inline distT="0" distB="0" distL="114300" distR="114300">
            <wp:extent cx="5924550" cy="3813810"/>
            <wp:effectExtent l="0" t="0" r="0" b="15240"/>
            <wp:docPr id="31" name="图片 2" descr="1496302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descr="1496302802(1)"/>
                    <pic:cNvPicPr>
                      <a:picLocks noChangeAspect="1"/>
                    </pic:cNvPicPr>
                  </pic:nvPicPr>
                  <pic:blipFill>
                    <a:blip r:embed="rId7"/>
                    <a:stretch>
                      <a:fillRect/>
                    </a:stretch>
                  </pic:blipFill>
                  <pic:spPr>
                    <a:xfrm>
                      <a:off x="0" y="0"/>
                      <a:ext cx="5924550" cy="3813810"/>
                    </a:xfrm>
                    <a:prstGeom prst="rect">
                      <a:avLst/>
                    </a:prstGeom>
                    <a:noFill/>
                    <a:ln w="9525">
                      <a:noFill/>
                    </a:ln>
                  </pic:spPr>
                </pic:pic>
              </a:graphicData>
            </a:graphic>
          </wp:inline>
        </w:drawing>
      </w:r>
    </w:p>
    <w:p>
      <w:pPr>
        <w:spacing w:before="156" w:beforeLines="50"/>
        <w:ind w:firstLine="4469" w:firstLineChars="1590"/>
        <w:rPr>
          <w:rFonts w:hint="eastAsia" w:hAnsi="宋体"/>
          <w:b/>
          <w:sz w:val="28"/>
          <w:szCs w:val="28"/>
        </w:rPr>
      </w:pPr>
      <w:r>
        <w:rPr>
          <w:rFonts w:hAnsi="宋体"/>
          <w:b/>
          <w:sz w:val="28"/>
          <w:szCs w:val="28"/>
        </w:rPr>
        <w:t>项目管理在美国及全球名列前茅的大学</w:t>
      </w:r>
    </w:p>
    <w:p>
      <w:pPr>
        <w:spacing w:line="0" w:lineRule="atLeast"/>
        <w:jc w:val="center"/>
        <w:rPr>
          <w:b/>
          <w:color w:val="FF0000"/>
          <w:sz w:val="44"/>
          <w:szCs w:val="44"/>
        </w:rPr>
      </w:pPr>
      <w:r>
        <w:rPr>
          <w:b/>
          <w:color w:val="FF0000"/>
          <w:sz w:val="44"/>
          <w:szCs w:val="44"/>
        </w:rPr>
        <w:t>工商管理硕士、博士学位班招生简章</w:t>
      </w:r>
    </w:p>
    <w:p>
      <w:pPr>
        <w:spacing w:line="360" w:lineRule="auto"/>
        <w:rPr>
          <w:rFonts w:eastAsia="黑体"/>
          <w:b/>
          <w:bCs/>
          <w:color w:val="993300"/>
          <w:sz w:val="28"/>
          <w:szCs w:val="28"/>
        </w:rPr>
      </w:pPr>
      <w:bookmarkStart w:id="0" w:name="_Toc119123592"/>
      <w:r>
        <w:rPr>
          <w:rFonts w:eastAsia="黑体"/>
          <w:b/>
          <w:bCs/>
          <w:color w:val="993300"/>
          <w:sz w:val="28"/>
          <w:szCs w:val="28"/>
        </w:rPr>
        <w:t>一、学校概况（About UMT）</w:t>
      </w:r>
    </w:p>
    <w:p>
      <w:pPr>
        <w:spacing w:line="360" w:lineRule="auto"/>
        <w:ind w:firstLine="420" w:firstLineChars="200"/>
        <w:rPr>
          <w:szCs w:val="21"/>
        </w:rPr>
      </w:pPr>
      <w:r>
        <w:rPr>
          <w:szCs w:val="21"/>
        </w:rPr>
        <w:t>美国管理技术大学（University of Management and Technology，简称“UMT”，http://www.umtweb.edu）位于美国首都华盛顿地区，是一所现代城市型大学。该校在世界著名管理专家、校董会主席威廉姆.威尔斯博士（曾任前美国总统布什科技委员会主任，美国众议院前秘书长）和世界顶级项目管理专家、学术校长弗雷姆博士（曾任前总统布什和克林顿的白宫行政办公室顾问，身兼IBM、朗讯、摩根财团等著名企业的管理学顾问至今）带领下，以现代项目管理的世界领先学府著称。该校设有各类准学士、学士、硕士和博士学位教育，同时还开设各类专业证书教育培训项目，是美国联邦政府和军方及各著名大企业培养项目管理和采购管理的著名学府。到目前为止，UMT培养的学生已达50000多人，许多毕业生已成为美国政界、学界和商界的要人。</w:t>
      </w:r>
    </w:p>
    <w:p>
      <w:pPr>
        <w:spacing w:line="360" w:lineRule="auto"/>
        <w:ind w:firstLine="420" w:firstLineChars="200"/>
        <w:rPr>
          <w:szCs w:val="21"/>
        </w:rPr>
      </w:pPr>
      <w:r>
        <w:rPr>
          <w:szCs w:val="21"/>
        </w:rPr>
        <w:t>UMT是美国教育部（USDE,www.ed.gov）及弗吉尼亚州高等教育委员会（SCHEV,www.schev.edu）正式授权进行高等教育的正规高等学府，得到美国高等教育认证委员会（CHEA,www.chea.org ）的认可，可合法在世界各国开展高等教育并授予学位的正规大学。2006年该校又得到美国教育部所属权威认证机构PMI（美国项目管理学会和项目管理全球认证中心）的认证：这就大大提高了它的学术地位。</w:t>
      </w:r>
    </w:p>
    <w:p>
      <w:pPr>
        <w:spacing w:line="360" w:lineRule="auto"/>
        <w:ind w:firstLine="420" w:firstLineChars="200"/>
        <w:rPr>
          <w:szCs w:val="21"/>
        </w:rPr>
      </w:pPr>
      <w:r>
        <w:rPr>
          <w:szCs w:val="21"/>
        </w:rPr>
        <w:t>2001年5月，UMT由中国外国专家局直接引进，</w:t>
      </w:r>
      <w:r>
        <w:rPr>
          <w:rFonts w:hint="eastAsia"/>
          <w:szCs w:val="21"/>
        </w:rPr>
        <w:t>与国内</w:t>
      </w:r>
      <w:r>
        <w:rPr>
          <w:szCs w:val="21"/>
        </w:rPr>
        <w:t>十多所著名高校合作，在中国举办项目管理硕士</w:t>
      </w:r>
      <w:r>
        <w:rPr>
          <w:rFonts w:hint="eastAsia"/>
          <w:szCs w:val="21"/>
        </w:rPr>
        <w:t>、工商管理硕士</w:t>
      </w:r>
      <w:r>
        <w:rPr>
          <w:szCs w:val="21"/>
        </w:rPr>
        <w:t>课程班。UMT学员来自IBM、AT&amp;T、Lucent Technologic、Mogen Stanley、联合国组织、中国航天集团，世界银行</w:t>
      </w:r>
      <w:r>
        <w:rPr>
          <w:rFonts w:hint="eastAsia"/>
          <w:szCs w:val="21"/>
        </w:rPr>
        <w:t>、神华集团、创维集团、加大实力国际、海南航空、陕西省人力资源和社会保障厅、山西省环保厅、山东省财政局</w:t>
      </w:r>
      <w:r>
        <w:rPr>
          <w:szCs w:val="21"/>
        </w:rPr>
        <w:t>等。中国神州飞船总指挥袁家军及四十多名航天集团老总</w:t>
      </w:r>
      <w:r>
        <w:rPr>
          <w:rFonts w:hint="eastAsia"/>
          <w:szCs w:val="21"/>
        </w:rPr>
        <w:t>毕业于该课程班</w:t>
      </w:r>
      <w:r>
        <w:rPr>
          <w:rFonts w:hAnsi="宋体"/>
          <w:szCs w:val="21"/>
        </w:rPr>
        <w:t>。</w:t>
      </w:r>
    </w:p>
    <w:p>
      <w:pPr>
        <w:spacing w:line="360" w:lineRule="auto"/>
        <w:ind w:firstLine="420" w:firstLineChars="200"/>
        <w:rPr>
          <w:szCs w:val="21"/>
        </w:rPr>
      </w:pPr>
      <w:r>
        <w:drawing>
          <wp:anchor distT="0" distB="0" distL="114300" distR="114300" simplePos="0" relativeHeight="251685888" behindDoc="0" locked="0" layoutInCell="1" allowOverlap="1">
            <wp:simplePos x="0" y="0"/>
            <wp:positionH relativeFrom="column">
              <wp:posOffset>4115435</wp:posOffset>
            </wp:positionH>
            <wp:positionV relativeFrom="paragraph">
              <wp:posOffset>560705</wp:posOffset>
            </wp:positionV>
            <wp:extent cx="1780540" cy="2283460"/>
            <wp:effectExtent l="0" t="0" r="10160" b="2540"/>
            <wp:wrapNone/>
            <wp:docPr id="28" name="图片 134" descr="中留服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4" descr="中留服证明"/>
                    <pic:cNvPicPr>
                      <a:picLocks noChangeAspect="1"/>
                    </pic:cNvPicPr>
                  </pic:nvPicPr>
                  <pic:blipFill>
                    <a:blip r:embed="rId8"/>
                    <a:stretch>
                      <a:fillRect/>
                    </a:stretch>
                  </pic:blipFill>
                  <pic:spPr>
                    <a:xfrm>
                      <a:off x="0" y="0"/>
                      <a:ext cx="1780540" cy="2283460"/>
                    </a:xfrm>
                    <a:prstGeom prst="rect">
                      <a:avLst/>
                    </a:prstGeom>
                    <a:noFill/>
                    <a:ln w="9525">
                      <a:noFill/>
                    </a:ln>
                  </pic:spPr>
                </pic:pic>
              </a:graphicData>
            </a:graphic>
          </wp:anchor>
        </w:drawing>
      </w:r>
      <w:r>
        <w:rPr>
          <w:rFonts w:hint="eastAsia"/>
          <w:szCs w:val="21"/>
        </w:rPr>
        <w:t>中国研究生课程班学员超过9000人。课程的引进得到了中国教育部留学服务中心、上海市教委、江苏省教育厅、广东省教育厅、云南省教育厅、北京市教委等主管部门的批准和备案。</w:t>
      </w:r>
    </w:p>
    <w:p>
      <w:pPr>
        <w:spacing w:line="360" w:lineRule="auto"/>
        <w:rPr>
          <w:szCs w:val="21"/>
        </w:rPr>
      </w:pPr>
      <w:r>
        <w:rPr>
          <w:rFonts w:eastAsia="黑体"/>
          <w:b/>
          <w:bCs/>
          <w:color w:val="993300"/>
          <w:sz w:val="28"/>
        </w:rPr>
        <w:t>二、权威资质认证（Accreditation）</w:t>
      </w:r>
    </w:p>
    <w:p>
      <w:pPr>
        <w:numPr>
          <w:ilvl w:val="0"/>
          <w:numId w:val="1"/>
        </w:numPr>
        <w:spacing w:line="360" w:lineRule="auto"/>
        <w:rPr>
          <w:szCs w:val="21"/>
        </w:rPr>
      </w:pPr>
      <w:r>
        <w:rPr>
          <w:rFonts w:hAnsi="宋体"/>
          <w:szCs w:val="21"/>
        </w:rPr>
        <w:t>美国联邦教育部</w:t>
      </w:r>
      <w:r>
        <w:rPr>
          <w:szCs w:val="21"/>
        </w:rPr>
        <w:t>USDE</w:t>
      </w:r>
      <w:r>
        <w:rPr>
          <w:rFonts w:hAnsi="宋体"/>
          <w:szCs w:val="21"/>
        </w:rPr>
        <w:t>（</w:t>
      </w:r>
      <w:r>
        <w:rPr>
          <w:szCs w:val="21"/>
        </w:rPr>
        <w:t>www.ed.gov</w:t>
      </w:r>
      <w:r>
        <w:rPr>
          <w:rFonts w:hAnsi="宋体"/>
          <w:szCs w:val="21"/>
        </w:rPr>
        <w:t>）认可的大学之一；</w:t>
      </w:r>
    </w:p>
    <w:p>
      <w:pPr>
        <w:numPr>
          <w:ilvl w:val="0"/>
          <w:numId w:val="1"/>
        </w:numPr>
        <w:spacing w:line="360" w:lineRule="auto"/>
        <w:rPr>
          <w:rFonts w:hint="eastAsia"/>
          <w:szCs w:val="21"/>
        </w:rPr>
      </w:pPr>
      <w:r>
        <w:rPr>
          <w:rFonts w:hAnsi="宋体"/>
          <w:szCs w:val="21"/>
        </w:rPr>
        <w:t>美国弗吉尼亚州高等教育委员会</w:t>
      </w:r>
      <w:r>
        <w:rPr>
          <w:szCs w:val="21"/>
        </w:rPr>
        <w:t>SCHEV</w:t>
      </w:r>
      <w:r>
        <w:rPr>
          <w:rFonts w:hAnsi="宋体"/>
          <w:szCs w:val="21"/>
        </w:rPr>
        <w:t>（</w:t>
      </w:r>
      <w:r>
        <w:rPr>
          <w:szCs w:val="21"/>
        </w:rPr>
        <w:t>www.schev.edu</w:t>
      </w:r>
      <w:r>
        <w:rPr>
          <w:rFonts w:hAnsi="宋体"/>
          <w:szCs w:val="21"/>
        </w:rPr>
        <w:t>）正式</w:t>
      </w:r>
    </w:p>
    <w:p>
      <w:pPr>
        <w:spacing w:line="360" w:lineRule="auto"/>
        <w:ind w:left="420"/>
        <w:rPr>
          <w:szCs w:val="21"/>
        </w:rPr>
      </w:pPr>
      <w:r>
        <w:rPr>
          <w:rFonts w:hAnsi="宋体"/>
          <w:szCs w:val="21"/>
        </w:rPr>
        <w:t>授权进行高等教育的正规高等学府；</w:t>
      </w:r>
    </w:p>
    <w:p>
      <w:pPr>
        <w:numPr>
          <w:ilvl w:val="0"/>
          <w:numId w:val="1"/>
        </w:numPr>
        <w:spacing w:line="360" w:lineRule="auto"/>
        <w:rPr>
          <w:szCs w:val="21"/>
        </w:rPr>
      </w:pPr>
      <w:r>
        <w:rPr>
          <w:rFonts w:hAnsi="宋体"/>
          <w:szCs w:val="21"/>
        </w:rPr>
        <w:t>美国高等教育认证委员会</w:t>
      </w:r>
      <w:r>
        <w:rPr>
          <w:szCs w:val="21"/>
        </w:rPr>
        <w:t>CHEA</w:t>
      </w:r>
      <w:r>
        <w:rPr>
          <w:rFonts w:hAnsi="宋体"/>
          <w:szCs w:val="21"/>
        </w:rPr>
        <w:t>（</w:t>
      </w:r>
      <w:r>
        <w:rPr>
          <w:szCs w:val="21"/>
        </w:rPr>
        <w:t>www.chea.org</w:t>
      </w:r>
      <w:r>
        <w:rPr>
          <w:rFonts w:hAnsi="宋体"/>
          <w:szCs w:val="21"/>
        </w:rPr>
        <w:t>）认可的大学之一；</w:t>
      </w:r>
    </w:p>
    <w:p>
      <w:pPr>
        <w:numPr>
          <w:ilvl w:val="0"/>
          <w:numId w:val="1"/>
        </w:numPr>
        <w:spacing w:line="360" w:lineRule="auto"/>
        <w:rPr>
          <w:szCs w:val="21"/>
        </w:rPr>
      </w:pPr>
      <w:r>
        <w:rPr>
          <w:rFonts w:hAnsi="宋体"/>
          <w:szCs w:val="21"/>
        </w:rPr>
        <w:t>美国远程教育认证委员会</w:t>
      </w:r>
      <w:r>
        <w:rPr>
          <w:szCs w:val="21"/>
        </w:rPr>
        <w:t>DETC</w:t>
      </w:r>
      <w:r>
        <w:rPr>
          <w:rFonts w:hAnsi="宋体"/>
          <w:szCs w:val="21"/>
        </w:rPr>
        <w:t>（</w:t>
      </w:r>
      <w:r>
        <w:rPr>
          <w:szCs w:val="21"/>
        </w:rPr>
        <w:t>www.detc.org</w:t>
      </w:r>
      <w:r>
        <w:rPr>
          <w:rFonts w:hAnsi="宋体"/>
          <w:szCs w:val="21"/>
        </w:rPr>
        <w:t>）认证批准的大学；</w:t>
      </w:r>
    </w:p>
    <w:p>
      <w:pPr>
        <w:numPr>
          <w:ilvl w:val="0"/>
          <w:numId w:val="1"/>
        </w:numPr>
        <w:spacing w:line="360" w:lineRule="auto"/>
        <w:rPr>
          <w:szCs w:val="21"/>
        </w:rPr>
      </w:pPr>
      <w:r>
        <w:rPr>
          <w:rFonts w:hAnsi="宋体"/>
          <w:szCs w:val="21"/>
        </w:rPr>
        <w:t>美国项目管理协会</w:t>
      </w:r>
      <w:r>
        <w:rPr>
          <w:szCs w:val="21"/>
        </w:rPr>
        <w:t>PMI</w:t>
      </w:r>
      <w:r>
        <w:rPr>
          <w:rFonts w:hAnsi="宋体"/>
          <w:szCs w:val="21"/>
        </w:rPr>
        <w:t>授予的</w:t>
      </w:r>
      <w:r>
        <w:rPr>
          <w:szCs w:val="21"/>
        </w:rPr>
        <w:t>“</w:t>
      </w:r>
      <w:r>
        <w:rPr>
          <w:rFonts w:hAnsi="宋体"/>
          <w:szCs w:val="21"/>
        </w:rPr>
        <w:t>全球项目管理权威教育机构</w:t>
      </w:r>
      <w:r>
        <w:rPr>
          <w:szCs w:val="21"/>
        </w:rPr>
        <w:t>”</w:t>
      </w:r>
      <w:r>
        <w:rPr>
          <w:rFonts w:hAnsi="宋体"/>
          <w:szCs w:val="21"/>
        </w:rPr>
        <w:t>证书；</w:t>
      </w:r>
    </w:p>
    <w:p>
      <w:pPr>
        <w:numPr>
          <w:ilvl w:val="0"/>
          <w:numId w:val="1"/>
        </w:numPr>
        <w:spacing w:line="360" w:lineRule="auto"/>
        <w:rPr>
          <w:szCs w:val="21"/>
        </w:rPr>
      </w:pPr>
      <w:r>
        <w:rPr>
          <w:rFonts w:hAnsi="宋体"/>
          <w:szCs w:val="21"/>
        </w:rPr>
        <w:t>中华人民共和国驻美国大使馆书面证明【美教证字</w:t>
      </w:r>
      <w:r>
        <w:rPr>
          <w:szCs w:val="21"/>
        </w:rPr>
        <w:t>2001</w:t>
      </w:r>
      <w:r>
        <w:rPr>
          <w:rFonts w:hAnsi="宋体"/>
          <w:szCs w:val="21"/>
        </w:rPr>
        <w:t>（</w:t>
      </w:r>
      <w:r>
        <w:rPr>
          <w:szCs w:val="21"/>
        </w:rPr>
        <w:t>029</w:t>
      </w:r>
      <w:r>
        <w:rPr>
          <w:rFonts w:hAnsi="宋体"/>
          <w:szCs w:val="21"/>
        </w:rPr>
        <w:t>）】</w:t>
      </w:r>
      <w:r>
        <w:rPr>
          <w:szCs w:val="21"/>
        </w:rPr>
        <w:t>UMT</w:t>
      </w:r>
      <w:r>
        <w:rPr>
          <w:rFonts w:hAnsi="宋体"/>
          <w:szCs w:val="21"/>
        </w:rPr>
        <w:t>具有授予管理学硕士、工商管理硕士、工商管理博士学位资格；</w:t>
      </w:r>
    </w:p>
    <w:p>
      <w:pPr>
        <w:numPr>
          <w:ilvl w:val="0"/>
          <w:numId w:val="1"/>
        </w:numPr>
        <w:spacing w:line="360" w:lineRule="auto"/>
        <w:rPr>
          <w:szCs w:val="21"/>
        </w:rPr>
      </w:pPr>
      <w:r>
        <w:rPr>
          <w:rFonts w:hAnsi="宋体"/>
          <w:szCs w:val="21"/>
        </w:rPr>
        <w:t>中国教育部留学服务中心【教留服咨美</w:t>
      </w:r>
      <w:r>
        <w:rPr>
          <w:szCs w:val="21"/>
        </w:rPr>
        <w:t>2004</w:t>
      </w:r>
      <w:r>
        <w:rPr>
          <w:rFonts w:hAnsi="宋体"/>
          <w:szCs w:val="21"/>
        </w:rPr>
        <w:t>（</w:t>
      </w:r>
      <w:r>
        <w:rPr>
          <w:szCs w:val="21"/>
        </w:rPr>
        <w:t>001</w:t>
      </w:r>
      <w:r>
        <w:rPr>
          <w:rFonts w:hAnsi="宋体"/>
          <w:szCs w:val="21"/>
        </w:rPr>
        <w:t>）号】书面证明</w:t>
      </w:r>
      <w:r>
        <w:rPr>
          <w:szCs w:val="21"/>
        </w:rPr>
        <w:t>UMT</w:t>
      </w:r>
      <w:r>
        <w:rPr>
          <w:rFonts w:hAnsi="宋体"/>
          <w:szCs w:val="21"/>
        </w:rPr>
        <w:t>系在美国弗吉尼亚州注册的高等学校，且被美国远程教育认证委员会认证，具有招收国外学生资格。</w:t>
      </w:r>
    </w:p>
    <w:p>
      <w:pPr>
        <w:spacing w:line="360" w:lineRule="auto"/>
        <w:rPr>
          <w:b/>
          <w:color w:val="993300"/>
          <w:kern w:val="0"/>
          <w:sz w:val="28"/>
        </w:rPr>
      </w:pPr>
      <w:r>
        <w:rPr>
          <w:rFonts w:eastAsia="黑体"/>
          <w:b/>
          <w:color w:val="993300"/>
          <w:sz w:val="28"/>
        </w:rPr>
        <w:t>三、UMT MBA项目简介Introduction of UMT MBA Program</w:t>
      </w:r>
    </w:p>
    <w:p>
      <w:pPr>
        <w:spacing w:line="360" w:lineRule="auto"/>
        <w:ind w:firstLine="525" w:firstLineChars="250"/>
      </w:pPr>
      <w:r>
        <w:t>UMT MBA 学位课程，通过系统学习现代国际先进的工商管理理论精髓，借鉴世界知名企业成功运作经验，使您能够适应加入WTO后我国经济贸易全面与国际接轨而面临的新挑战，提升分析问题及管理决策的能力，拓展事业，发展良好的人际资源网络。</w:t>
      </w:r>
    </w:p>
    <w:p>
      <w:pPr>
        <w:spacing w:line="360" w:lineRule="auto"/>
        <w:rPr>
          <w:rFonts w:eastAsia="黑体"/>
          <w:b/>
          <w:color w:val="993300"/>
          <w:sz w:val="24"/>
        </w:rPr>
      </w:pPr>
      <w:r>
        <w:rPr>
          <w:rFonts w:eastAsia="黑体"/>
          <w:b/>
          <w:color w:val="993300"/>
          <w:sz w:val="24"/>
        </w:rPr>
        <w:t>【课程方案】Coursework</w:t>
      </w:r>
      <w:r>
        <w:rPr>
          <w:rFonts w:hint="eastAsia" w:eastAsia="黑体"/>
          <w:b/>
          <w:color w:val="993300"/>
          <w:sz w:val="24"/>
        </w:rPr>
        <w:t xml:space="preserve">     MBA：15门课程共计45学分。</w:t>
      </w:r>
    </w:p>
    <w:p>
      <w:pPr>
        <w:widowControl/>
        <w:spacing w:line="360" w:lineRule="auto"/>
        <w:jc w:val="left"/>
        <w:rPr>
          <w:rFonts w:hint="eastAsia"/>
          <w:kern w:val="0"/>
          <w:szCs w:val="21"/>
        </w:rPr>
      </w:pPr>
      <w:r>
        <w:rPr>
          <w:szCs w:val="21"/>
        </w:rPr>
        <w:t>MGT 201</w:t>
      </w:r>
      <w:r>
        <w:rPr>
          <w:rFonts w:hint="eastAsia"/>
          <w:szCs w:val="21"/>
        </w:rPr>
        <w:t>有效沟通与软能力</w:t>
      </w:r>
      <w:r>
        <w:rPr>
          <w:szCs w:val="21"/>
        </w:rPr>
        <w:t>Effective Communications and Soft Skills</w:t>
      </w:r>
      <w:r>
        <w:rPr>
          <w:color w:val="000000"/>
          <w:kern w:val="0"/>
          <w:szCs w:val="21"/>
        </w:rPr>
        <w:t xml:space="preserve"> </w:t>
      </w:r>
      <w:r>
        <w:rPr>
          <w:rFonts w:hint="eastAsia"/>
          <w:kern w:val="0"/>
          <w:szCs w:val="21"/>
        </w:rPr>
        <w:t>3</w:t>
      </w:r>
      <w:r>
        <w:rPr>
          <w:kern w:val="0"/>
          <w:szCs w:val="21"/>
        </w:rPr>
        <w:t>学分</w:t>
      </w:r>
    </w:p>
    <w:p>
      <w:pPr>
        <w:widowControl/>
        <w:spacing w:line="360" w:lineRule="auto"/>
        <w:jc w:val="left"/>
        <w:rPr>
          <w:rFonts w:hint="eastAsia"/>
          <w:kern w:val="0"/>
          <w:szCs w:val="21"/>
        </w:rPr>
      </w:pPr>
      <w:r>
        <w:rPr>
          <w:szCs w:val="21"/>
        </w:rPr>
        <w:t>MGT 202</w:t>
      </w:r>
      <w:r>
        <w:rPr>
          <w:rFonts w:hint="eastAsia"/>
          <w:szCs w:val="21"/>
        </w:rPr>
        <w:t>商法与伦理</w:t>
      </w:r>
      <w:r>
        <w:rPr>
          <w:szCs w:val="21"/>
        </w:rPr>
        <w:t>Business Law and Ethics</w:t>
      </w:r>
      <w:r>
        <w:rPr>
          <w:rFonts w:hint="eastAsia"/>
          <w:szCs w:val="21"/>
        </w:rPr>
        <w:t xml:space="preserve">  </w:t>
      </w:r>
      <w:r>
        <w:rPr>
          <w:rFonts w:hint="eastAsia"/>
          <w:kern w:val="0"/>
          <w:szCs w:val="21"/>
        </w:rPr>
        <w:t>3</w:t>
      </w:r>
      <w:r>
        <w:rPr>
          <w:kern w:val="0"/>
          <w:szCs w:val="21"/>
        </w:rPr>
        <w:t>学分</w:t>
      </w:r>
    </w:p>
    <w:p>
      <w:pPr>
        <w:widowControl/>
        <w:spacing w:line="360" w:lineRule="auto"/>
        <w:jc w:val="left"/>
        <w:rPr>
          <w:rFonts w:hint="eastAsia"/>
          <w:kern w:val="0"/>
          <w:szCs w:val="21"/>
        </w:rPr>
      </w:pPr>
      <w:r>
        <w:rPr>
          <w:szCs w:val="21"/>
        </w:rPr>
        <w:t>MGT 215</w:t>
      </w:r>
      <w:r>
        <w:rPr>
          <w:color w:val="000000"/>
          <w:kern w:val="0"/>
          <w:szCs w:val="21"/>
        </w:rPr>
        <w:t xml:space="preserve"> </w:t>
      </w:r>
      <w:r>
        <w:rPr>
          <w:rFonts w:hint="eastAsia"/>
          <w:szCs w:val="21"/>
        </w:rPr>
        <w:t>物流与供应链运营管理</w:t>
      </w:r>
      <w:r>
        <w:rPr>
          <w:szCs w:val="21"/>
        </w:rPr>
        <w:t>Operations, Logistics &amp; Supply Chain Mgt</w:t>
      </w:r>
      <w:r>
        <w:rPr>
          <w:rFonts w:hint="eastAsia"/>
          <w:szCs w:val="21"/>
        </w:rPr>
        <w:t xml:space="preserve">  </w:t>
      </w:r>
      <w:r>
        <w:rPr>
          <w:rFonts w:hint="eastAsia"/>
          <w:kern w:val="0"/>
          <w:szCs w:val="21"/>
        </w:rPr>
        <w:t>3</w:t>
      </w:r>
      <w:r>
        <w:rPr>
          <w:kern w:val="0"/>
          <w:szCs w:val="21"/>
        </w:rPr>
        <w:t>学分</w:t>
      </w:r>
    </w:p>
    <w:p>
      <w:pPr>
        <w:widowControl/>
        <w:spacing w:line="360" w:lineRule="auto"/>
        <w:jc w:val="left"/>
        <w:rPr>
          <w:rFonts w:hint="eastAsia"/>
          <w:kern w:val="0"/>
          <w:szCs w:val="21"/>
        </w:rPr>
      </w:pPr>
      <w:r>
        <w:rPr>
          <w:szCs w:val="21"/>
        </w:rPr>
        <w:t>MGT 220</w:t>
      </w:r>
      <w:r>
        <w:rPr>
          <w:rFonts w:hint="eastAsia"/>
          <w:szCs w:val="21"/>
        </w:rPr>
        <w:t>信息技术</w:t>
      </w:r>
      <w:r>
        <w:rPr>
          <w:szCs w:val="21"/>
        </w:rPr>
        <w:t>Information Technology</w:t>
      </w:r>
      <w:r>
        <w:rPr>
          <w:rFonts w:hint="eastAsia"/>
          <w:szCs w:val="21"/>
        </w:rPr>
        <w:t xml:space="preserve">  </w:t>
      </w:r>
      <w:r>
        <w:rPr>
          <w:rFonts w:hint="eastAsia"/>
          <w:kern w:val="0"/>
          <w:szCs w:val="21"/>
        </w:rPr>
        <w:t>3</w:t>
      </w:r>
      <w:r>
        <w:rPr>
          <w:kern w:val="0"/>
          <w:szCs w:val="21"/>
        </w:rPr>
        <w:t>学分</w:t>
      </w:r>
    </w:p>
    <w:p>
      <w:pPr>
        <w:widowControl/>
        <w:spacing w:line="360" w:lineRule="auto"/>
        <w:jc w:val="left"/>
        <w:rPr>
          <w:rFonts w:hint="eastAsia"/>
          <w:kern w:val="0"/>
          <w:szCs w:val="21"/>
        </w:rPr>
      </w:pPr>
      <w:r>
        <w:rPr>
          <w:szCs w:val="21"/>
        </w:rPr>
        <w:t>MGT 230</w:t>
      </w:r>
      <w:r>
        <w:rPr>
          <w:rFonts w:hint="eastAsia"/>
          <w:szCs w:val="21"/>
        </w:rPr>
        <w:t>领导与组织</w:t>
      </w:r>
      <w:r>
        <w:rPr>
          <w:szCs w:val="21"/>
        </w:rPr>
        <w:t>Leadership and Organizations</w:t>
      </w:r>
      <w:r>
        <w:rPr>
          <w:rFonts w:hint="eastAsia"/>
          <w:szCs w:val="21"/>
        </w:rPr>
        <w:t xml:space="preserve">  </w:t>
      </w:r>
      <w:r>
        <w:rPr>
          <w:rFonts w:hint="eastAsia"/>
          <w:kern w:val="0"/>
          <w:szCs w:val="21"/>
        </w:rPr>
        <w:t>3</w:t>
      </w:r>
      <w:r>
        <w:rPr>
          <w:kern w:val="0"/>
          <w:szCs w:val="21"/>
        </w:rPr>
        <w:t>学分</w:t>
      </w:r>
    </w:p>
    <w:p>
      <w:pPr>
        <w:widowControl/>
        <w:spacing w:line="360" w:lineRule="auto"/>
        <w:jc w:val="left"/>
        <w:rPr>
          <w:rFonts w:hint="eastAsia"/>
          <w:kern w:val="0"/>
          <w:szCs w:val="21"/>
        </w:rPr>
      </w:pPr>
      <w:r>
        <w:rPr>
          <w:szCs w:val="21"/>
        </w:rPr>
        <w:t>MGT 236</w:t>
      </w:r>
      <w:r>
        <w:rPr>
          <w:rFonts w:hint="eastAsia"/>
          <w:szCs w:val="21"/>
        </w:rPr>
        <w:t>决策的制定</w:t>
      </w:r>
      <w:r>
        <w:rPr>
          <w:szCs w:val="21"/>
        </w:rPr>
        <w:t>Decision Making</w:t>
      </w:r>
      <w:r>
        <w:rPr>
          <w:rFonts w:hint="eastAsia"/>
          <w:szCs w:val="21"/>
        </w:rPr>
        <w:t xml:space="preserve">  </w:t>
      </w:r>
      <w:r>
        <w:rPr>
          <w:rFonts w:hint="eastAsia"/>
          <w:kern w:val="0"/>
          <w:szCs w:val="21"/>
        </w:rPr>
        <w:t>3</w:t>
      </w:r>
      <w:r>
        <w:rPr>
          <w:kern w:val="0"/>
          <w:szCs w:val="21"/>
        </w:rPr>
        <w:t>学分</w:t>
      </w:r>
    </w:p>
    <w:p>
      <w:pPr>
        <w:widowControl/>
        <w:spacing w:line="360" w:lineRule="auto"/>
        <w:jc w:val="left"/>
        <w:rPr>
          <w:kern w:val="0"/>
          <w:szCs w:val="21"/>
        </w:rPr>
      </w:pPr>
      <w:r>
        <w:rPr>
          <w:szCs w:val="21"/>
        </w:rPr>
        <w:t>MGT 240</w:t>
      </w:r>
      <w:r>
        <w:rPr>
          <w:rFonts w:hint="eastAsia"/>
          <w:szCs w:val="21"/>
        </w:rPr>
        <w:t>市场营销</w:t>
      </w:r>
      <w:r>
        <w:rPr>
          <w:szCs w:val="21"/>
        </w:rPr>
        <w:t>Marketing and Sales</w:t>
      </w:r>
      <w:r>
        <w:rPr>
          <w:rFonts w:hint="eastAsia"/>
          <w:szCs w:val="21"/>
        </w:rPr>
        <w:t xml:space="preserve">  </w:t>
      </w:r>
      <w:r>
        <w:rPr>
          <w:rFonts w:hint="eastAsia"/>
          <w:kern w:val="0"/>
          <w:szCs w:val="21"/>
        </w:rPr>
        <w:t>3</w:t>
      </w:r>
      <w:r>
        <w:rPr>
          <w:kern w:val="0"/>
          <w:szCs w:val="21"/>
        </w:rPr>
        <w:t>学分</w:t>
      </w:r>
    </w:p>
    <w:p>
      <w:pPr>
        <w:widowControl/>
        <w:spacing w:line="360" w:lineRule="auto"/>
        <w:jc w:val="left"/>
        <w:rPr>
          <w:kern w:val="0"/>
          <w:szCs w:val="21"/>
        </w:rPr>
      </w:pPr>
      <w:r>
        <w:rPr>
          <w:szCs w:val="21"/>
        </w:rPr>
        <w:t>MGT 245</w:t>
      </w:r>
      <w:r>
        <w:rPr>
          <w:rFonts w:hint="eastAsia"/>
          <w:szCs w:val="21"/>
        </w:rPr>
        <w:t>技术创新</w:t>
      </w:r>
      <w:r>
        <w:rPr>
          <w:szCs w:val="21"/>
        </w:rPr>
        <w:t>Technological Entrepreneurship</w:t>
      </w:r>
      <w:r>
        <w:rPr>
          <w:rFonts w:hint="eastAsia"/>
          <w:szCs w:val="21"/>
        </w:rPr>
        <w:t xml:space="preserve">  </w:t>
      </w:r>
      <w:r>
        <w:rPr>
          <w:rFonts w:hint="eastAsia"/>
          <w:kern w:val="0"/>
          <w:szCs w:val="21"/>
        </w:rPr>
        <w:t>3</w:t>
      </w:r>
      <w:r>
        <w:rPr>
          <w:kern w:val="0"/>
          <w:szCs w:val="21"/>
        </w:rPr>
        <w:t>学分</w:t>
      </w:r>
    </w:p>
    <w:p>
      <w:pPr>
        <w:widowControl/>
        <w:spacing w:line="360" w:lineRule="auto"/>
        <w:jc w:val="left"/>
        <w:rPr>
          <w:rFonts w:hint="eastAsia"/>
          <w:kern w:val="0"/>
          <w:szCs w:val="21"/>
        </w:rPr>
      </w:pPr>
      <w:r>
        <w:rPr>
          <w:szCs w:val="21"/>
        </w:rPr>
        <w:t>MGT 250</w:t>
      </w:r>
      <w:r>
        <w:rPr>
          <w:rFonts w:hint="eastAsia"/>
          <w:szCs w:val="21"/>
        </w:rPr>
        <w:t>项目管理</w:t>
      </w:r>
      <w:r>
        <w:rPr>
          <w:szCs w:val="21"/>
        </w:rPr>
        <w:t>Project Management</w:t>
      </w:r>
      <w:r>
        <w:rPr>
          <w:rFonts w:hint="eastAsia"/>
          <w:szCs w:val="21"/>
        </w:rPr>
        <w:t xml:space="preserve"> </w:t>
      </w:r>
      <w:r>
        <w:rPr>
          <w:rFonts w:hint="eastAsia"/>
          <w:kern w:val="0"/>
          <w:szCs w:val="21"/>
        </w:rPr>
        <w:t>3</w:t>
      </w:r>
      <w:r>
        <w:rPr>
          <w:kern w:val="0"/>
          <w:szCs w:val="21"/>
        </w:rPr>
        <w:t>学分</w:t>
      </w:r>
    </w:p>
    <w:p>
      <w:pPr>
        <w:widowControl/>
        <w:spacing w:line="360" w:lineRule="auto"/>
        <w:jc w:val="left"/>
        <w:rPr>
          <w:kern w:val="0"/>
          <w:szCs w:val="21"/>
        </w:rPr>
      </w:pPr>
      <w:r>
        <w:rPr>
          <w:szCs w:val="21"/>
        </w:rPr>
        <w:t>MGT 251</w:t>
      </w:r>
      <w:r>
        <w:rPr>
          <w:rFonts w:hint="eastAsia"/>
          <w:szCs w:val="21"/>
        </w:rPr>
        <w:t>进程与成本控制</w:t>
      </w:r>
      <w:r>
        <w:rPr>
          <w:szCs w:val="21"/>
        </w:rPr>
        <w:t>Scheduling and Cost Control</w:t>
      </w:r>
      <w:r>
        <w:rPr>
          <w:rFonts w:hint="eastAsia"/>
          <w:szCs w:val="21"/>
        </w:rPr>
        <w:t xml:space="preserve"> </w:t>
      </w:r>
      <w:r>
        <w:rPr>
          <w:rFonts w:hint="eastAsia"/>
          <w:kern w:val="0"/>
          <w:szCs w:val="21"/>
        </w:rPr>
        <w:t>3</w:t>
      </w:r>
      <w:r>
        <w:rPr>
          <w:kern w:val="0"/>
          <w:szCs w:val="21"/>
        </w:rPr>
        <w:t>学分</w:t>
      </w:r>
    </w:p>
    <w:p>
      <w:pPr>
        <w:widowControl/>
        <w:spacing w:line="360" w:lineRule="auto"/>
        <w:jc w:val="left"/>
        <w:rPr>
          <w:rFonts w:hint="eastAsia"/>
          <w:kern w:val="0"/>
          <w:szCs w:val="21"/>
        </w:rPr>
      </w:pPr>
      <w:r>
        <w:rPr>
          <w:szCs w:val="21"/>
        </w:rPr>
        <w:t>MGT 254</w:t>
      </w:r>
      <w:r>
        <w:rPr>
          <w:rFonts w:hint="eastAsia"/>
          <w:szCs w:val="21"/>
        </w:rPr>
        <w:t>合同与采办</w:t>
      </w:r>
      <w:r>
        <w:rPr>
          <w:szCs w:val="21"/>
        </w:rPr>
        <w:t>Contracts and Procurement</w:t>
      </w:r>
      <w:r>
        <w:rPr>
          <w:rFonts w:hint="eastAsia"/>
          <w:szCs w:val="21"/>
        </w:rPr>
        <w:t xml:space="preserve"> </w:t>
      </w:r>
      <w:r>
        <w:rPr>
          <w:rFonts w:hint="eastAsia"/>
          <w:kern w:val="0"/>
          <w:szCs w:val="21"/>
        </w:rPr>
        <w:t>3</w:t>
      </w:r>
      <w:r>
        <w:rPr>
          <w:kern w:val="0"/>
          <w:szCs w:val="21"/>
        </w:rPr>
        <w:t>学分</w:t>
      </w:r>
    </w:p>
    <w:p>
      <w:pPr>
        <w:widowControl/>
        <w:spacing w:line="360" w:lineRule="auto"/>
        <w:jc w:val="left"/>
        <w:rPr>
          <w:rFonts w:hint="eastAsia"/>
          <w:kern w:val="0"/>
          <w:szCs w:val="21"/>
        </w:rPr>
      </w:pPr>
      <w:r>
        <w:rPr>
          <w:szCs w:val="21"/>
        </w:rPr>
        <w:t>MGT 280</w:t>
      </w:r>
      <w:r>
        <w:rPr>
          <w:rFonts w:hint="eastAsia"/>
          <w:szCs w:val="21"/>
        </w:rPr>
        <w:t>财政金融</w:t>
      </w:r>
      <w:r>
        <w:rPr>
          <w:szCs w:val="21"/>
        </w:rPr>
        <w:t>Finance</w:t>
      </w:r>
      <w:r>
        <w:rPr>
          <w:rFonts w:hint="eastAsia"/>
          <w:szCs w:val="21"/>
        </w:rPr>
        <w:t xml:space="preserve">  </w:t>
      </w:r>
      <w:r>
        <w:rPr>
          <w:rFonts w:hint="eastAsia"/>
          <w:kern w:val="0"/>
          <w:szCs w:val="21"/>
        </w:rPr>
        <w:t>3</w:t>
      </w:r>
      <w:r>
        <w:rPr>
          <w:kern w:val="0"/>
          <w:szCs w:val="21"/>
        </w:rPr>
        <w:t>学分</w:t>
      </w:r>
    </w:p>
    <w:p>
      <w:pPr>
        <w:widowControl/>
        <w:spacing w:line="360" w:lineRule="auto"/>
        <w:jc w:val="left"/>
        <w:rPr>
          <w:rFonts w:hint="eastAsia"/>
          <w:kern w:val="0"/>
          <w:szCs w:val="21"/>
        </w:rPr>
      </w:pPr>
      <w:r>
        <w:rPr>
          <w:szCs w:val="21"/>
        </w:rPr>
        <w:t>MGT 281</w:t>
      </w:r>
      <w:r>
        <w:rPr>
          <w:rFonts w:hint="eastAsia"/>
          <w:szCs w:val="21"/>
        </w:rPr>
        <w:t>会计</w:t>
      </w:r>
      <w:r>
        <w:rPr>
          <w:szCs w:val="21"/>
        </w:rPr>
        <w:t>Accounting</w:t>
      </w:r>
      <w:r>
        <w:rPr>
          <w:rFonts w:hint="eastAsia"/>
          <w:szCs w:val="21"/>
        </w:rPr>
        <w:t xml:space="preserve"> </w:t>
      </w:r>
      <w:r>
        <w:rPr>
          <w:rFonts w:hint="eastAsia"/>
          <w:kern w:val="0"/>
          <w:szCs w:val="21"/>
        </w:rPr>
        <w:t>3</w:t>
      </w:r>
      <w:r>
        <w:rPr>
          <w:kern w:val="0"/>
          <w:szCs w:val="21"/>
        </w:rPr>
        <w:t>学分</w:t>
      </w:r>
    </w:p>
    <w:p>
      <w:pPr>
        <w:widowControl/>
        <w:spacing w:line="360" w:lineRule="auto"/>
        <w:jc w:val="left"/>
        <w:rPr>
          <w:rFonts w:hint="eastAsia"/>
          <w:kern w:val="0"/>
          <w:szCs w:val="21"/>
        </w:rPr>
      </w:pPr>
      <w:r>
        <w:rPr>
          <w:szCs w:val="21"/>
        </w:rPr>
        <w:t>MGT 285</w:t>
      </w:r>
      <w:r>
        <w:rPr>
          <w:rFonts w:hint="eastAsia"/>
          <w:szCs w:val="21"/>
        </w:rPr>
        <w:t>经济学</w:t>
      </w:r>
      <w:r>
        <w:rPr>
          <w:szCs w:val="21"/>
        </w:rPr>
        <w:t>Economics</w:t>
      </w:r>
      <w:r>
        <w:rPr>
          <w:rFonts w:hint="eastAsia"/>
          <w:szCs w:val="21"/>
        </w:rPr>
        <w:t xml:space="preserve">  </w:t>
      </w:r>
      <w:r>
        <w:rPr>
          <w:rFonts w:hint="eastAsia"/>
          <w:kern w:val="0"/>
          <w:szCs w:val="21"/>
        </w:rPr>
        <w:t>3</w:t>
      </w:r>
      <w:r>
        <w:rPr>
          <w:kern w:val="0"/>
          <w:szCs w:val="21"/>
        </w:rPr>
        <w:t>学分</w:t>
      </w:r>
    </w:p>
    <w:p>
      <w:pPr>
        <w:widowControl/>
        <w:spacing w:line="360" w:lineRule="auto"/>
        <w:jc w:val="left"/>
        <w:rPr>
          <w:rFonts w:hint="eastAsia"/>
          <w:kern w:val="0"/>
          <w:szCs w:val="21"/>
        </w:rPr>
      </w:pPr>
      <w:r>
        <w:rPr>
          <w:szCs w:val="21"/>
        </w:rPr>
        <w:t>MGT 299</w:t>
      </w:r>
      <w:r>
        <w:rPr>
          <w:rFonts w:hint="eastAsia"/>
          <w:szCs w:val="21"/>
        </w:rPr>
        <w:t>商业政策</w:t>
      </w:r>
      <w:r>
        <w:rPr>
          <w:szCs w:val="21"/>
        </w:rPr>
        <w:t>Business Policy</w:t>
      </w:r>
      <w:r>
        <w:rPr>
          <w:rFonts w:hint="eastAsia"/>
          <w:szCs w:val="21"/>
        </w:rPr>
        <w:t xml:space="preserve">  </w:t>
      </w:r>
      <w:r>
        <w:rPr>
          <w:rFonts w:hint="eastAsia"/>
          <w:kern w:val="0"/>
          <w:szCs w:val="21"/>
        </w:rPr>
        <w:t>3</w:t>
      </w:r>
      <w:r>
        <w:rPr>
          <w:kern w:val="0"/>
          <w:szCs w:val="21"/>
        </w:rPr>
        <w:t>学分</w:t>
      </w:r>
    </w:p>
    <w:p>
      <w:pPr>
        <w:widowControl/>
        <w:spacing w:line="360" w:lineRule="auto"/>
        <w:jc w:val="left"/>
        <w:rPr>
          <w:color w:val="0000A0"/>
          <w:kern w:val="0"/>
          <w:szCs w:val="21"/>
        </w:rPr>
      </w:pPr>
      <w:r>
        <w:rPr>
          <w:rFonts w:hAnsi="宋体"/>
          <w:color w:val="000000"/>
          <w:kern w:val="0"/>
          <w:szCs w:val="21"/>
        </w:rPr>
        <w:t>注：每门课程</w:t>
      </w:r>
      <w:r>
        <w:rPr>
          <w:color w:val="000000"/>
          <w:kern w:val="0"/>
          <w:szCs w:val="21"/>
        </w:rPr>
        <w:t>3</w:t>
      </w:r>
      <w:r>
        <w:rPr>
          <w:rFonts w:hAnsi="宋体"/>
          <w:color w:val="000000"/>
          <w:kern w:val="0"/>
          <w:szCs w:val="21"/>
        </w:rPr>
        <w:t>学分，中国班级中《会计学》由《财务管理》替代；《商业</w:t>
      </w:r>
      <w:r>
        <w:rPr>
          <w:rFonts w:hint="eastAsia" w:hAnsi="宋体"/>
          <w:color w:val="000000"/>
          <w:kern w:val="0"/>
          <w:szCs w:val="21"/>
        </w:rPr>
        <w:t>政策</w:t>
      </w:r>
      <w:r>
        <w:rPr>
          <w:rFonts w:hAnsi="宋体"/>
          <w:color w:val="000000"/>
          <w:kern w:val="0"/>
          <w:szCs w:val="21"/>
        </w:rPr>
        <w:t>》由《战略管理》替代；《经济学》改为《管理经济学》</w:t>
      </w:r>
      <w:r>
        <w:rPr>
          <w:color w:val="0000A0"/>
          <w:kern w:val="0"/>
          <w:szCs w:val="21"/>
        </w:rPr>
        <w:t xml:space="preserve"> </w:t>
      </w:r>
    </w:p>
    <w:p>
      <w:pPr>
        <w:spacing w:line="360" w:lineRule="auto"/>
        <w:rPr>
          <w:rFonts w:eastAsia="黑体"/>
          <w:b/>
          <w:color w:val="993300"/>
          <w:sz w:val="24"/>
        </w:rPr>
      </w:pPr>
      <w:r>
        <w:rPr>
          <w:rFonts w:hint="eastAsia" w:eastAsia="黑体"/>
          <w:b/>
          <w:color w:val="993300"/>
          <w:sz w:val="24"/>
        </w:rPr>
        <w:t xml:space="preserve">【学习安排】Length of Study </w:t>
      </w:r>
    </w:p>
    <w:p>
      <w:pPr>
        <w:spacing w:line="360" w:lineRule="auto"/>
        <w:ind w:left="424" w:leftChars="202"/>
        <w:rPr>
          <w:rFonts w:ascii="宋体" w:hAnsi="宋体"/>
          <w:szCs w:val="21"/>
        </w:rPr>
      </w:pPr>
      <w:r>
        <w:rPr>
          <w:rFonts w:hint="eastAsia" w:ascii="宋体" w:hAnsi="宋体"/>
          <w:szCs w:val="21"/>
        </w:rPr>
        <w:t>学制：18个月，在职学习，利用周末集中授课，中文课程由中方资深教授和专家授课；外文课程由UMT校方选派外教来华现场讲授，并定期为学员组织海外学习或商务考察机会，参观欧美著名企业级机构，拓展国际视野。自愿参加，不计学分，费用另计。</w:t>
      </w:r>
    </w:p>
    <w:p>
      <w:pPr>
        <w:spacing w:line="360" w:lineRule="auto"/>
        <w:ind w:left="993" w:leftChars="203" w:hanging="567" w:hangingChars="270"/>
        <w:rPr>
          <w:rFonts w:ascii="宋体" w:hAnsi="宋体"/>
          <w:szCs w:val="21"/>
        </w:rPr>
      </w:pPr>
      <w:r>
        <w:rPr>
          <w:rFonts w:hint="eastAsia" w:ascii="宋体" w:hAnsi="宋体"/>
          <w:szCs w:val="21"/>
        </w:rPr>
        <w:t>授课地点：清华大学</w:t>
      </w:r>
    </w:p>
    <w:p>
      <w:pPr>
        <w:spacing w:line="360" w:lineRule="auto"/>
        <w:rPr>
          <w:rFonts w:eastAsia="黑体"/>
          <w:b/>
          <w:color w:val="993300"/>
          <w:sz w:val="24"/>
        </w:rPr>
      </w:pPr>
      <w:r>
        <w:rPr>
          <w:rFonts w:hint="eastAsia" w:eastAsia="黑体"/>
          <w:b/>
          <w:color w:val="993300"/>
          <w:sz w:val="24"/>
        </w:rPr>
        <w:t xml:space="preserve">【申请条件】Requirements </w:t>
      </w:r>
      <w:r>
        <w:rPr>
          <w:rFonts w:hint="eastAsia" w:ascii="宋体" w:hAnsi="宋体"/>
          <w:szCs w:val="21"/>
        </w:rPr>
        <w:t>（具备下列条件之一者）</w:t>
      </w:r>
    </w:p>
    <w:p>
      <w:pPr>
        <w:spacing w:line="360" w:lineRule="auto"/>
        <w:ind w:left="424" w:leftChars="201" w:hanging="2"/>
        <w:rPr>
          <w:rFonts w:ascii="宋体" w:hAnsi="宋体"/>
          <w:szCs w:val="21"/>
        </w:rPr>
      </w:pPr>
      <w:r>
        <w:rPr>
          <w:rFonts w:hint="eastAsia" w:ascii="宋体" w:hAnsi="宋体"/>
          <w:szCs w:val="21"/>
        </w:rPr>
        <w:t>本科学历，从事管理工作三年以上；专科学历，从事高层管理工作五年以上；业绩突出者，可以同等学历报名，经校方评估，批准后可入学。</w:t>
      </w:r>
    </w:p>
    <w:p>
      <w:pPr>
        <w:spacing w:line="360" w:lineRule="auto"/>
        <w:rPr>
          <w:b/>
          <w:color w:val="993300"/>
          <w:kern w:val="0"/>
          <w:sz w:val="28"/>
        </w:rPr>
      </w:pPr>
      <w:r>
        <w:rPr>
          <w:rFonts w:eastAsia="黑体"/>
          <w:b/>
          <w:color w:val="993300"/>
          <w:sz w:val="28"/>
        </w:rPr>
        <w:t>四、UMT DBA项目简介Introduction of UMT DBA Program</w:t>
      </w:r>
    </w:p>
    <w:p>
      <w:pPr>
        <w:spacing w:line="360" w:lineRule="auto"/>
        <w:ind w:firstLine="420" w:firstLineChars="200"/>
        <w:rPr>
          <w:szCs w:val="21"/>
        </w:rPr>
      </w:pPr>
      <w:r>
        <w:rPr>
          <w:szCs w:val="21"/>
        </w:rPr>
        <w:t>UMT DBA是一个充满创新精神的高级项目，旨在为高层管理实践者及资深管理研究咨询者提供极其高度和深度的应用型管理研究教育，目标是为中国企业培养一批应用型管理研究高级人才。</w:t>
      </w:r>
    </w:p>
    <w:p>
      <w:pPr>
        <w:spacing w:line="360" w:lineRule="auto"/>
        <w:ind w:firstLine="420" w:firstLineChars="200"/>
        <w:rPr>
          <w:szCs w:val="21"/>
        </w:rPr>
      </w:pPr>
      <w:r>
        <w:rPr>
          <w:szCs w:val="21"/>
        </w:rPr>
        <w:t>UMT DBA项目设计充分考虑参加者方便协调工作、生活与在职学习研究。课程教学安排灵活，全程优质服务更让学员专心学习研究，无需为学习上的琐碎事务分心。</w:t>
      </w:r>
    </w:p>
    <w:p>
      <w:pPr>
        <w:spacing w:line="360" w:lineRule="auto"/>
        <w:ind w:firstLine="420" w:firstLineChars="200"/>
        <w:rPr>
          <w:szCs w:val="21"/>
        </w:rPr>
      </w:pPr>
      <w:r>
        <w:rPr>
          <w:szCs w:val="21"/>
        </w:rPr>
        <w:t>UMT DBA项目实施分三个阶段为期两年完成。第一阶段为课程授课学习，共有9门专业课程和3门专题课程；第二阶段为博士论文写作与答辩，在入学及授课期间内选题，在完成课程学习后完成写作；第三阶段为出国学习考察，参加毕业典礼及学位国际公证。</w:t>
      </w:r>
    </w:p>
    <w:bookmarkEnd w:id="0"/>
    <w:p>
      <w:pPr>
        <w:spacing w:line="360" w:lineRule="auto"/>
        <w:rPr>
          <w:rFonts w:hint="eastAsia" w:eastAsia="黑体"/>
          <w:b/>
          <w:color w:val="993300"/>
          <w:sz w:val="24"/>
        </w:rPr>
      </w:pPr>
      <w:bookmarkStart w:id="1" w:name="_Toc119733132"/>
      <w:r>
        <w:rPr>
          <w:rFonts w:eastAsia="黑体"/>
          <w:b/>
          <w:color w:val="993300"/>
          <w:sz w:val="24"/>
        </w:rPr>
        <w:t>【课程方案】Coursework</w:t>
      </w:r>
      <w:bookmarkEnd w:id="1"/>
      <w:r>
        <w:rPr>
          <w:rFonts w:hint="eastAsia" w:eastAsia="黑体"/>
          <w:b/>
          <w:color w:val="993300"/>
          <w:sz w:val="24"/>
        </w:rPr>
        <w:t xml:space="preserve">  DBA课程14门</w:t>
      </w:r>
    </w:p>
    <w:p>
      <w:pPr>
        <w:widowControl/>
        <w:spacing w:line="360" w:lineRule="auto"/>
        <w:ind w:firstLine="420" w:firstLineChars="200"/>
        <w:jc w:val="left"/>
        <w:rPr>
          <w:kern w:val="0"/>
          <w:szCs w:val="21"/>
        </w:rPr>
      </w:pPr>
      <w:r>
        <w:rPr>
          <w:kern w:val="0"/>
          <w:szCs w:val="21"/>
        </w:rPr>
        <w:t>MGT 310 研究与分析方法（Analytical Techniques in Research）</w:t>
      </w:r>
      <w:r>
        <w:rPr>
          <w:rFonts w:hint="eastAsia"/>
          <w:kern w:val="0"/>
          <w:szCs w:val="21"/>
        </w:rPr>
        <w:t>3</w:t>
      </w:r>
      <w:r>
        <w:rPr>
          <w:kern w:val="0"/>
          <w:szCs w:val="21"/>
        </w:rPr>
        <w:t>学分</w:t>
      </w:r>
    </w:p>
    <w:p>
      <w:pPr>
        <w:widowControl/>
        <w:spacing w:line="360" w:lineRule="auto"/>
        <w:ind w:firstLine="420" w:firstLineChars="200"/>
        <w:jc w:val="left"/>
        <w:rPr>
          <w:kern w:val="0"/>
          <w:szCs w:val="21"/>
        </w:rPr>
      </w:pPr>
      <w:r>
        <w:rPr>
          <w:kern w:val="0"/>
          <w:szCs w:val="21"/>
        </w:rPr>
        <w:t>MGT 320 知识和研究的哲学基础（Philosophical Foundations of knowledge and Research）3学分</w:t>
      </w:r>
    </w:p>
    <w:p>
      <w:pPr>
        <w:widowControl/>
        <w:spacing w:line="360" w:lineRule="auto"/>
        <w:ind w:firstLine="420" w:firstLineChars="200"/>
        <w:jc w:val="left"/>
        <w:rPr>
          <w:kern w:val="0"/>
          <w:szCs w:val="21"/>
        </w:rPr>
      </w:pPr>
      <w:r>
        <w:rPr>
          <w:kern w:val="0"/>
          <w:szCs w:val="21"/>
        </w:rPr>
        <w:t>MGT 350 管理思想的演化 (Evolution of Management thought) 3学分</w:t>
      </w:r>
    </w:p>
    <w:p>
      <w:pPr>
        <w:widowControl/>
        <w:spacing w:line="360" w:lineRule="auto"/>
        <w:ind w:firstLine="420" w:firstLineChars="200"/>
        <w:jc w:val="left"/>
        <w:rPr>
          <w:kern w:val="0"/>
          <w:szCs w:val="21"/>
        </w:rPr>
      </w:pPr>
      <w:r>
        <w:rPr>
          <w:kern w:val="0"/>
          <w:szCs w:val="21"/>
        </w:rPr>
        <w:t>MGT 355</w:t>
      </w:r>
      <w:r>
        <w:rPr>
          <w:rFonts w:hint="eastAsia"/>
          <w:kern w:val="0"/>
          <w:szCs w:val="21"/>
        </w:rPr>
        <w:t>管理行为科学</w:t>
      </w:r>
      <w:r>
        <w:rPr>
          <w:kern w:val="0"/>
          <w:szCs w:val="21"/>
        </w:rPr>
        <w:t xml:space="preserve">(Management as a Behavioral Science) </w:t>
      </w:r>
      <w:r>
        <w:rPr>
          <w:rFonts w:hint="eastAsia"/>
          <w:kern w:val="0"/>
          <w:szCs w:val="21"/>
        </w:rPr>
        <w:t>3</w:t>
      </w:r>
      <w:r>
        <w:rPr>
          <w:kern w:val="0"/>
          <w:szCs w:val="21"/>
        </w:rPr>
        <w:t>学分</w:t>
      </w:r>
    </w:p>
    <w:p>
      <w:pPr>
        <w:widowControl/>
        <w:spacing w:line="360" w:lineRule="auto"/>
        <w:ind w:firstLine="420" w:firstLineChars="200"/>
        <w:jc w:val="left"/>
        <w:rPr>
          <w:kern w:val="0"/>
          <w:szCs w:val="21"/>
        </w:rPr>
      </w:pPr>
      <w:r>
        <w:rPr>
          <w:kern w:val="0"/>
          <w:szCs w:val="21"/>
        </w:rPr>
        <w:t>MGT 358</w:t>
      </w:r>
      <w:r>
        <w:rPr>
          <w:rFonts w:hint="eastAsia"/>
          <w:kern w:val="0"/>
          <w:szCs w:val="21"/>
        </w:rPr>
        <w:t>管理学前沿问题研究</w:t>
      </w:r>
      <w:r>
        <w:rPr>
          <w:kern w:val="0"/>
          <w:szCs w:val="21"/>
        </w:rPr>
        <w:t>(Current Issues in Management) 3学分</w:t>
      </w:r>
    </w:p>
    <w:p>
      <w:pPr>
        <w:widowControl/>
        <w:spacing w:line="360" w:lineRule="auto"/>
        <w:ind w:firstLine="420" w:firstLineChars="200"/>
        <w:jc w:val="left"/>
        <w:rPr>
          <w:kern w:val="0"/>
          <w:szCs w:val="21"/>
        </w:rPr>
      </w:pPr>
      <w:r>
        <w:rPr>
          <w:kern w:val="0"/>
          <w:szCs w:val="21"/>
        </w:rPr>
        <w:t>MGT 359 现代商务运营管理 (Managing Modern Business operations) 3学分</w:t>
      </w:r>
    </w:p>
    <w:p>
      <w:pPr>
        <w:widowControl/>
        <w:spacing w:line="360" w:lineRule="auto"/>
        <w:ind w:firstLine="420" w:firstLineChars="200"/>
        <w:jc w:val="left"/>
        <w:rPr>
          <w:kern w:val="0"/>
          <w:szCs w:val="21"/>
        </w:rPr>
      </w:pPr>
      <w:r>
        <w:rPr>
          <w:kern w:val="0"/>
          <w:szCs w:val="21"/>
        </w:rPr>
        <w:t>MGT 360 国际管理 (International Management) 3学分</w:t>
      </w:r>
    </w:p>
    <w:p>
      <w:pPr>
        <w:widowControl/>
        <w:spacing w:line="360" w:lineRule="auto"/>
        <w:ind w:firstLine="420" w:firstLineChars="200"/>
        <w:jc w:val="left"/>
        <w:rPr>
          <w:kern w:val="0"/>
          <w:szCs w:val="21"/>
        </w:rPr>
      </w:pPr>
      <w:r>
        <w:rPr>
          <w:kern w:val="0"/>
          <w:szCs w:val="21"/>
        </w:rPr>
        <w:t>MGT 365 经济与金融理论(Economic and Financial Theory) 3学分</w:t>
      </w:r>
    </w:p>
    <w:p>
      <w:pPr>
        <w:widowControl/>
        <w:spacing w:line="360" w:lineRule="auto"/>
        <w:ind w:firstLine="420" w:firstLineChars="200"/>
        <w:jc w:val="left"/>
        <w:rPr>
          <w:kern w:val="0"/>
          <w:szCs w:val="21"/>
        </w:rPr>
      </w:pPr>
      <w:r>
        <w:rPr>
          <w:kern w:val="0"/>
          <w:szCs w:val="21"/>
        </w:rPr>
        <w:t>MGT 366 领导与伦理 (Leadership and Ethics) 3学分</w:t>
      </w:r>
    </w:p>
    <w:p>
      <w:pPr>
        <w:widowControl/>
        <w:spacing w:line="360" w:lineRule="auto"/>
        <w:ind w:firstLine="420" w:firstLineChars="200"/>
        <w:jc w:val="left"/>
        <w:rPr>
          <w:kern w:val="0"/>
          <w:szCs w:val="21"/>
        </w:rPr>
      </w:pPr>
      <w:r>
        <w:rPr>
          <w:kern w:val="0"/>
          <w:szCs w:val="21"/>
        </w:rPr>
        <w:t>MGT 368 企业与政府关系(Business-Government Relations) 3学分</w:t>
      </w:r>
    </w:p>
    <w:p>
      <w:pPr>
        <w:widowControl/>
        <w:spacing w:line="360" w:lineRule="auto"/>
        <w:ind w:firstLine="420" w:firstLineChars="200"/>
        <w:jc w:val="left"/>
        <w:rPr>
          <w:kern w:val="0"/>
          <w:szCs w:val="21"/>
        </w:rPr>
      </w:pPr>
      <w:r>
        <w:rPr>
          <w:kern w:val="0"/>
          <w:szCs w:val="21"/>
        </w:rPr>
        <w:t>MGT 395 技术创新与企业家精神(Technology Innovation and Entrepreneurship) 3学分</w:t>
      </w:r>
    </w:p>
    <w:p>
      <w:pPr>
        <w:widowControl/>
        <w:spacing w:line="360" w:lineRule="auto"/>
        <w:ind w:firstLine="420" w:firstLineChars="200"/>
        <w:jc w:val="left"/>
        <w:rPr>
          <w:kern w:val="0"/>
          <w:szCs w:val="21"/>
        </w:rPr>
      </w:pPr>
      <w:r>
        <w:rPr>
          <w:kern w:val="0"/>
          <w:szCs w:val="21"/>
        </w:rPr>
        <w:t>MGT398</w:t>
      </w:r>
      <w:r>
        <w:rPr>
          <w:rFonts w:hint="eastAsia"/>
          <w:kern w:val="0"/>
          <w:szCs w:val="21"/>
        </w:rPr>
        <w:t>研究与阅读指导</w:t>
      </w:r>
      <w:r>
        <w:rPr>
          <w:kern w:val="0"/>
          <w:szCs w:val="21"/>
        </w:rPr>
        <w:t>（Directed Research and Read）6学分</w:t>
      </w:r>
    </w:p>
    <w:p>
      <w:pPr>
        <w:spacing w:line="360" w:lineRule="auto"/>
        <w:ind w:firstLine="413" w:firstLineChars="196"/>
        <w:rPr>
          <w:rFonts w:hint="eastAsia"/>
          <w:b/>
          <w:szCs w:val="21"/>
        </w:rPr>
      </w:pPr>
      <w:r>
        <w:rPr>
          <w:b/>
          <w:szCs w:val="21"/>
        </w:rPr>
        <w:t>开题报告和博士论文阶段The sis of DBA（15学分）</w:t>
      </w:r>
    </w:p>
    <w:p>
      <w:pPr>
        <w:widowControl/>
        <w:spacing w:line="360" w:lineRule="auto"/>
        <w:ind w:firstLine="420" w:firstLineChars="200"/>
        <w:jc w:val="left"/>
        <w:rPr>
          <w:rFonts w:hint="eastAsia"/>
          <w:kern w:val="0"/>
          <w:szCs w:val="21"/>
        </w:rPr>
      </w:pPr>
      <w:r>
        <w:rPr>
          <w:kern w:val="0"/>
          <w:szCs w:val="21"/>
        </w:rPr>
        <w:t>MGT420</w:t>
      </w:r>
      <w:r>
        <w:rPr>
          <w:rFonts w:hint="eastAsia"/>
          <w:kern w:val="0"/>
          <w:szCs w:val="21"/>
        </w:rPr>
        <w:t>开题报告研究（</w:t>
      </w:r>
      <w:r>
        <w:rPr>
          <w:kern w:val="0"/>
          <w:szCs w:val="21"/>
        </w:rPr>
        <w:t>Special Topics in Research</w:t>
      </w:r>
      <w:r>
        <w:rPr>
          <w:rFonts w:hint="eastAsia"/>
          <w:kern w:val="0"/>
          <w:szCs w:val="21"/>
        </w:rPr>
        <w:t>）</w:t>
      </w:r>
      <w:r>
        <w:rPr>
          <w:kern w:val="0"/>
          <w:szCs w:val="21"/>
        </w:rPr>
        <w:t>6学分</w:t>
      </w:r>
    </w:p>
    <w:p>
      <w:pPr>
        <w:widowControl/>
        <w:spacing w:line="360" w:lineRule="auto"/>
        <w:ind w:firstLine="420" w:firstLineChars="200"/>
        <w:jc w:val="left"/>
        <w:rPr>
          <w:kern w:val="0"/>
          <w:szCs w:val="21"/>
        </w:rPr>
      </w:pPr>
      <w:r>
        <w:rPr>
          <w:kern w:val="0"/>
          <w:szCs w:val="21"/>
        </w:rPr>
        <w:t>MGT499</w:t>
      </w:r>
      <w:r>
        <w:rPr>
          <w:rFonts w:hint="eastAsia"/>
          <w:kern w:val="0"/>
          <w:szCs w:val="21"/>
        </w:rPr>
        <w:t>论文答辩（</w:t>
      </w:r>
      <w:r>
        <w:rPr>
          <w:kern w:val="0"/>
          <w:szCs w:val="21"/>
        </w:rPr>
        <w:t>Dissertation</w:t>
      </w:r>
      <w:r>
        <w:rPr>
          <w:sz w:val="24"/>
        </w:rPr>
        <w:t xml:space="preserve"> Defense</w:t>
      </w:r>
      <w:r>
        <w:rPr>
          <w:rFonts w:hint="eastAsia"/>
          <w:sz w:val="24"/>
        </w:rPr>
        <w:t>）</w:t>
      </w:r>
      <w:r>
        <w:rPr>
          <w:rFonts w:hint="eastAsia"/>
          <w:kern w:val="0"/>
          <w:szCs w:val="21"/>
        </w:rPr>
        <w:t>9</w:t>
      </w:r>
      <w:r>
        <w:rPr>
          <w:kern w:val="0"/>
          <w:szCs w:val="21"/>
        </w:rPr>
        <w:t>学分</w:t>
      </w:r>
    </w:p>
    <w:p>
      <w:pPr>
        <w:spacing w:line="360" w:lineRule="auto"/>
        <w:ind w:firstLine="420" w:firstLineChars="200"/>
        <w:rPr>
          <w:szCs w:val="21"/>
        </w:rPr>
      </w:pPr>
      <w:r>
        <w:rPr>
          <w:szCs w:val="21"/>
        </w:rPr>
        <w:t>博士论文研究方法及撰写由导师与学员共同设计开题报告，在导师的指导下开始写作，撰写论文，最后由导师签字推荐给“</w:t>
      </w:r>
      <w:r>
        <w:rPr>
          <w:kern w:val="0"/>
          <w:szCs w:val="21"/>
        </w:rPr>
        <w:t>博士学位论文</w:t>
      </w:r>
      <w:r>
        <w:rPr>
          <w:szCs w:val="21"/>
        </w:rPr>
        <w:t>答辩委员会进行答辩。</w:t>
      </w:r>
    </w:p>
    <w:p>
      <w:pPr>
        <w:spacing w:line="360" w:lineRule="auto"/>
        <w:rPr>
          <w:rFonts w:eastAsia="黑体"/>
          <w:b/>
          <w:color w:val="993300"/>
          <w:sz w:val="24"/>
        </w:rPr>
      </w:pPr>
      <w:r>
        <w:rPr>
          <w:rFonts w:hint="eastAsia" w:eastAsia="黑体"/>
          <w:b/>
          <w:color w:val="993300"/>
          <w:sz w:val="24"/>
        </w:rPr>
        <w:t xml:space="preserve">【学习安排】Length of Study </w:t>
      </w:r>
    </w:p>
    <w:p>
      <w:pPr>
        <w:spacing w:line="360" w:lineRule="auto"/>
        <w:ind w:left="426" w:leftChars="202" w:hanging="2"/>
        <w:rPr>
          <w:rFonts w:ascii="宋体" w:hAnsi="宋体"/>
          <w:szCs w:val="21"/>
        </w:rPr>
      </w:pPr>
      <w:r>
        <w:rPr>
          <w:rFonts w:hint="eastAsia" w:ascii="宋体" w:hAnsi="宋体"/>
          <w:szCs w:val="21"/>
        </w:rPr>
        <w:t>学制：两年，在职学习，利用周末集中授课，中文课程由中方资深教授和专家授课；外文课程由UMT校方选派外教来华现场讲授，并定期为学员组织海外学习或商务考察机会，参观欧美著名企业级机构，拓展国际视野。自愿参加，不计学分，费用另计。</w:t>
      </w:r>
    </w:p>
    <w:p>
      <w:pPr>
        <w:spacing w:line="360" w:lineRule="auto"/>
        <w:ind w:left="991" w:leftChars="202" w:hanging="567" w:hangingChars="270"/>
        <w:rPr>
          <w:rFonts w:ascii="宋体" w:hAnsi="宋体"/>
          <w:szCs w:val="21"/>
        </w:rPr>
      </w:pPr>
      <w:r>
        <w:rPr>
          <w:rFonts w:hint="eastAsia" w:ascii="宋体" w:hAnsi="宋体"/>
          <w:szCs w:val="21"/>
        </w:rPr>
        <w:t>授课地点：清华大学</w:t>
      </w:r>
    </w:p>
    <w:p>
      <w:pPr>
        <w:spacing w:line="360" w:lineRule="auto"/>
        <w:rPr>
          <w:rFonts w:eastAsia="黑体"/>
          <w:b/>
          <w:color w:val="993300"/>
          <w:sz w:val="24"/>
        </w:rPr>
      </w:pPr>
      <w:r>
        <w:rPr>
          <w:rFonts w:hint="eastAsia" w:eastAsia="黑体"/>
          <w:b/>
          <w:color w:val="993300"/>
          <w:sz w:val="24"/>
        </w:rPr>
        <w:t xml:space="preserve">【申请条件】Requirements </w:t>
      </w:r>
      <w:r>
        <w:rPr>
          <w:rFonts w:hint="eastAsia" w:ascii="宋体" w:hAnsi="宋体"/>
          <w:szCs w:val="21"/>
        </w:rPr>
        <w:t>（具备下列条件之一者）</w:t>
      </w:r>
    </w:p>
    <w:p>
      <w:pPr>
        <w:spacing w:line="360" w:lineRule="auto"/>
        <w:ind w:firstLine="424" w:firstLineChars="202"/>
        <w:rPr>
          <w:rFonts w:ascii="宋体" w:hAnsi="宋体"/>
          <w:szCs w:val="21"/>
        </w:rPr>
      </w:pPr>
      <w:r>
        <w:rPr>
          <w:rFonts w:hint="eastAsia" w:ascii="宋体" w:hAnsi="宋体"/>
          <w:szCs w:val="21"/>
        </w:rPr>
        <w:t>具有硕士学位或具有五年以上管理工作经验的企事业高中层管理人员及决策者；</w:t>
      </w:r>
    </w:p>
    <w:p>
      <w:pPr>
        <w:spacing w:line="360" w:lineRule="auto"/>
        <w:rPr>
          <w:rFonts w:eastAsia="黑体"/>
          <w:b/>
          <w:color w:val="993300"/>
          <w:sz w:val="28"/>
        </w:rPr>
      </w:pPr>
      <w:r>
        <w:rPr>
          <w:rFonts w:hint="eastAsia" w:eastAsia="黑体"/>
          <w:b/>
          <w:color w:val="993300"/>
          <w:sz w:val="28"/>
        </w:rPr>
        <w:t>五、</w:t>
      </w:r>
      <w:r>
        <w:rPr>
          <w:rFonts w:eastAsia="黑体"/>
          <w:b/>
          <w:color w:val="993300"/>
          <w:sz w:val="28"/>
        </w:rPr>
        <w:t>部分拟请师资介绍Teaching Expertise</w:t>
      </w:r>
    </w:p>
    <w:p>
      <w:pPr>
        <w:spacing w:line="360" w:lineRule="auto"/>
        <w:jc w:val="left"/>
        <w:rPr>
          <w:rStyle w:val="18"/>
          <w:color w:val="auto"/>
          <w:szCs w:val="21"/>
        </w:rPr>
      </w:pPr>
      <w:r>
        <w:rPr>
          <w:sz w:val="24"/>
        </w:rPr>
        <w:drawing>
          <wp:anchor distT="12065" distB="15875" distL="120015" distR="121920" simplePos="0" relativeHeight="251658240" behindDoc="1" locked="0" layoutInCell="1" allowOverlap="1">
            <wp:simplePos x="0" y="0"/>
            <wp:positionH relativeFrom="column">
              <wp:posOffset>-208915</wp:posOffset>
            </wp:positionH>
            <wp:positionV relativeFrom="paragraph">
              <wp:posOffset>34290</wp:posOffset>
            </wp:positionV>
            <wp:extent cx="1026795" cy="1400175"/>
            <wp:effectExtent l="0" t="0" r="1905" b="9525"/>
            <wp:wrapTight wrapText="bothSides">
              <wp:wrapPolygon>
                <wp:start x="1599" y="0"/>
                <wp:lineTo x="-407" y="2060"/>
                <wp:lineTo x="-407" y="18810"/>
                <wp:lineTo x="799" y="21450"/>
                <wp:lineTo x="1599" y="21450"/>
                <wp:lineTo x="19649" y="21450"/>
                <wp:lineTo x="20448" y="21450"/>
                <wp:lineTo x="21654" y="19690"/>
                <wp:lineTo x="21654" y="2060"/>
                <wp:lineTo x="20855" y="290"/>
                <wp:lineTo x="19649" y="0"/>
                <wp:lineTo x="1599" y="0"/>
              </wp:wrapPolygon>
            </wp:wrapTight>
            <wp:docPr id="1" name="Picture 46" descr="Frame校长致辞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6" descr="Frame校长致辞照片"/>
                    <pic:cNvPicPr>
                      <a:picLocks noChangeAspect="1" noChangeArrowheads="1"/>
                    </pic:cNvPicPr>
                  </pic:nvPicPr>
                  <pic:blipFill>
                    <a:blip r:embed="rId9" cstate="print"/>
                    <a:srcRect/>
                    <a:stretch>
                      <a:fillRect/>
                    </a:stretch>
                  </pic:blipFill>
                  <pic:spPr>
                    <a:xfrm>
                      <a:off x="0" y="0"/>
                      <a:ext cx="1026160" cy="1400175"/>
                    </a:xfrm>
                    <a:prstGeom prst="rect">
                      <a:avLst/>
                    </a:prstGeom>
                    <a:noFill/>
                    <a:ln>
                      <a:noFill/>
                    </a:ln>
                    <a:effectLst>
                      <a:softEdge rad="112500"/>
                    </a:effectLst>
                  </pic:spPr>
                </pic:pic>
              </a:graphicData>
            </a:graphic>
          </wp:anchor>
        </w:drawing>
      </w:r>
      <w:r>
        <w:rPr>
          <w:b/>
          <w:szCs w:val="21"/>
        </w:rPr>
        <w:t>Dr.J. Davidson Frame</w:t>
      </w:r>
      <w:r>
        <w:rPr>
          <w:szCs w:val="21"/>
        </w:rPr>
        <w:t xml:space="preserve">是美国项目管理专业学科的创始人和学术带头人之一,现任美国项目管理协会（PMI）董事会董事、美国管理技术大学（UMT）学术校长、美国扬科利普集团（YCG）副总裁 、美国管理技术大学英才项目中心主任。 曾任美国项目管理学会（PMI）资格认证委员会主任6年，1994年获得PMI特殊贡献奖，1995年获PMI年度最佳贡献者奖。曾任美国前两任总统行政办公室顾问，身兼AT&amp;T、IBM、朗讯、摩根斯坦利财团等著名企业的管理总顾问至今。 </w:t>
      </w:r>
    </w:p>
    <w:p>
      <w:pPr>
        <w:spacing w:line="360" w:lineRule="auto"/>
        <w:rPr>
          <w:rStyle w:val="18"/>
          <w:rFonts w:ascii="宋体" w:hAnsi="宋体" w:cs="Courier New"/>
          <w:szCs w:val="21"/>
        </w:rPr>
      </w:pPr>
      <w:r>
        <w:rPr>
          <w:rFonts w:ascii="宋体" w:hAnsi="宋体" w:cs="Courier New"/>
          <w:b/>
          <w:color w:val="000000"/>
          <w:szCs w:val="21"/>
        </w:rPr>
        <w:drawing>
          <wp:anchor distT="12065" distB="20320" distL="120015" distR="122555" simplePos="0" relativeHeight="251670528" behindDoc="0" locked="0" layoutInCell="1" allowOverlap="1">
            <wp:simplePos x="0" y="0"/>
            <wp:positionH relativeFrom="column">
              <wp:posOffset>-220980</wp:posOffset>
            </wp:positionH>
            <wp:positionV relativeFrom="paragraph">
              <wp:posOffset>160655</wp:posOffset>
            </wp:positionV>
            <wp:extent cx="971550" cy="1275715"/>
            <wp:effectExtent l="0" t="0" r="0" b="635"/>
            <wp:wrapSquare wrapText="bothSides"/>
            <wp:docPr id="13" name="图片 17" descr="0Q~E9A}XL7OIQKP`PBDJA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descr="0Q~E9A}XL7OIQKP`PBDJAP8"/>
                    <pic:cNvPicPr>
                      <a:picLocks noChangeAspect="1" noChangeArrowheads="1"/>
                    </pic:cNvPicPr>
                  </pic:nvPicPr>
                  <pic:blipFill>
                    <a:blip r:embed="rId10" cstate="print"/>
                    <a:srcRect/>
                    <a:stretch>
                      <a:fillRect/>
                    </a:stretch>
                  </pic:blipFill>
                  <pic:spPr>
                    <a:xfrm>
                      <a:off x="0" y="0"/>
                      <a:ext cx="971550" cy="1276350"/>
                    </a:xfrm>
                    <a:prstGeom prst="rect">
                      <a:avLst/>
                    </a:prstGeom>
                    <a:noFill/>
                    <a:ln>
                      <a:noFill/>
                    </a:ln>
                    <a:effectLst>
                      <a:softEdge rad="112500"/>
                    </a:effectLst>
                  </pic:spPr>
                </pic:pic>
              </a:graphicData>
            </a:graphic>
          </wp:anchor>
        </w:drawing>
      </w:r>
      <w:r>
        <w:rPr>
          <w:rStyle w:val="18"/>
          <w:rFonts w:ascii="宋体" w:hAnsi="宋体" w:cs="Courier New"/>
          <w:b/>
          <w:szCs w:val="21"/>
        </w:rPr>
        <w:t>陈燕平</w:t>
      </w:r>
      <w:r>
        <w:rPr>
          <w:rStyle w:val="18"/>
          <w:rFonts w:hint="eastAsia" w:ascii="宋体" w:hAnsi="宋体" w:cs="Courier New"/>
          <w:b/>
          <w:szCs w:val="21"/>
        </w:rPr>
        <w:t xml:space="preserve"> </w:t>
      </w:r>
      <w:r>
        <w:rPr>
          <w:rStyle w:val="18"/>
          <w:rFonts w:ascii="宋体" w:hAnsi="宋体" w:cs="Courier New"/>
          <w:b/>
          <w:szCs w:val="21"/>
        </w:rPr>
        <w:t>博士</w:t>
      </w:r>
      <w:r>
        <w:rPr>
          <w:rStyle w:val="18"/>
          <w:rFonts w:hint="eastAsia" w:ascii="宋体" w:hAnsi="宋体" w:cs="Courier New"/>
          <w:szCs w:val="21"/>
        </w:rPr>
        <w:t>，</w:t>
      </w:r>
      <w:r>
        <w:rPr>
          <w:rStyle w:val="18"/>
          <w:rFonts w:ascii="宋体" w:hAnsi="宋体" w:cs="Courier New"/>
          <w:szCs w:val="21"/>
        </w:rPr>
        <w:t>现任美国管理技术大学校长及终身教授。美国项目管理协会认证的第一个华</w:t>
      </w:r>
      <w:r>
        <w:rPr>
          <w:rStyle w:val="18"/>
          <w:rFonts w:ascii="宋体" w:hAnsi="宋体" w:cs="Courier New"/>
          <w:color w:val="auto"/>
          <w:szCs w:val="21"/>
        </w:rPr>
        <w:t>人</w:t>
      </w:r>
      <w:r>
        <w:rPr>
          <w:rStyle w:val="17"/>
          <w:rFonts w:hint="eastAsia" w:ascii="宋体" w:hAnsi="宋体" w:cs="Courier New"/>
          <w:szCs w:val="21"/>
        </w:rPr>
        <w:t>，</w:t>
      </w:r>
      <w:r>
        <w:rPr>
          <w:rStyle w:val="18"/>
          <w:rFonts w:ascii="宋体" w:hAnsi="宋体" w:cs="Courier New"/>
          <w:szCs w:val="21"/>
        </w:rPr>
        <w:t xml:space="preserve"> 1992年，陈燕平博士创立了扬科利普集团并担任集团总裁，主管该集团的国际管理培训和咨询业务。在她的领导下，该集团在短短几年的时间里就在国际培训和咨询领域打开了局面。现在该集团的客户已发展到英、法、澳大利亚、中国、韩国等世界主要国家</w:t>
      </w:r>
      <w:r>
        <w:rPr>
          <w:rStyle w:val="18"/>
          <w:rFonts w:hint="eastAsia" w:ascii="宋体" w:hAnsi="宋体" w:cs="Courier New"/>
          <w:szCs w:val="21"/>
        </w:rPr>
        <w:t>。</w:t>
      </w:r>
    </w:p>
    <w:p>
      <w:pPr>
        <w:tabs>
          <w:tab w:val="left" w:pos="1701"/>
          <w:tab w:val="left" w:pos="1843"/>
          <w:tab w:val="left" w:pos="2268"/>
        </w:tabs>
        <w:spacing w:line="360" w:lineRule="auto"/>
        <w:rPr>
          <w:rStyle w:val="18"/>
          <w:rFonts w:hint="eastAsia" w:ascii="宋体" w:hAnsi="宋体" w:cs="Courier New"/>
          <w:b/>
          <w:szCs w:val="21"/>
        </w:rPr>
      </w:pPr>
    </w:p>
    <w:p>
      <w:pPr>
        <w:tabs>
          <w:tab w:val="left" w:pos="1701"/>
          <w:tab w:val="left" w:pos="1843"/>
          <w:tab w:val="left" w:pos="2268"/>
        </w:tabs>
        <w:spacing w:line="360" w:lineRule="auto"/>
        <w:rPr>
          <w:rStyle w:val="18"/>
          <w:rFonts w:ascii="宋体" w:hAnsi="宋体" w:cs="Courier New"/>
          <w:b/>
          <w:szCs w:val="21"/>
        </w:rPr>
      </w:pPr>
      <w:r>
        <w:rPr>
          <w:rFonts w:ascii="宋体" w:hAnsi="宋体" w:cs="Courier New"/>
          <w:b/>
          <w:color w:val="000000"/>
          <w:szCs w:val="21"/>
        </w:rPr>
        <w:drawing>
          <wp:anchor distT="12065" distB="17780" distL="114300" distR="118745" simplePos="0" relativeHeight="251669504" behindDoc="0" locked="0" layoutInCell="1" allowOverlap="1">
            <wp:simplePos x="0" y="0"/>
            <wp:positionH relativeFrom="column">
              <wp:posOffset>-150495</wp:posOffset>
            </wp:positionH>
            <wp:positionV relativeFrom="paragraph">
              <wp:posOffset>-35560</wp:posOffset>
            </wp:positionV>
            <wp:extent cx="1028700" cy="1219200"/>
            <wp:effectExtent l="0" t="0" r="0" b="0"/>
            <wp:wrapSquare wrapText="bothSides"/>
            <wp:docPr id="1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2"/>
                    <pic:cNvPicPr>
                      <a:picLocks noChangeAspect="1" noChangeArrowheads="1"/>
                    </pic:cNvPicPr>
                  </pic:nvPicPr>
                  <pic:blipFill>
                    <a:blip r:embed="rId11" cstate="print"/>
                    <a:srcRect/>
                    <a:stretch>
                      <a:fillRect/>
                    </a:stretch>
                  </pic:blipFill>
                  <pic:spPr>
                    <a:xfrm>
                      <a:off x="0" y="0"/>
                      <a:ext cx="1028700" cy="1219200"/>
                    </a:xfrm>
                    <a:prstGeom prst="rect">
                      <a:avLst/>
                    </a:prstGeom>
                    <a:noFill/>
                    <a:ln>
                      <a:noFill/>
                    </a:ln>
                    <a:effectLst>
                      <a:softEdge rad="112500"/>
                    </a:effectLst>
                  </pic:spPr>
                </pic:pic>
              </a:graphicData>
            </a:graphic>
          </wp:anchor>
        </w:drawing>
      </w:r>
      <w:r>
        <w:rPr>
          <w:rStyle w:val="18"/>
          <w:rFonts w:hint="eastAsia" w:ascii="宋体" w:hAnsi="宋体" w:cs="Courier New"/>
          <w:b/>
          <w:szCs w:val="21"/>
        </w:rPr>
        <w:t>韦尔斯 博士</w:t>
      </w:r>
      <w:r>
        <w:rPr>
          <w:rStyle w:val="18"/>
          <w:rFonts w:hint="eastAsia" w:ascii="宋体" w:hAnsi="宋体" w:cs="Courier New"/>
          <w:szCs w:val="21"/>
        </w:rPr>
        <w:t>，UMT教授。美国阿波罗登月计划项目主任，曾担任美国前总统布什的科技政 策顾问，及美国前总统克林顿的科技政策顾问， 曾任美国众议院前秘书长，Wells博士任美国项目管理协会(PMI) 专业权威刊物《项目管理杂志》主编。</w:t>
      </w:r>
    </w:p>
    <w:p>
      <w:pPr>
        <w:spacing w:line="360" w:lineRule="auto"/>
        <w:rPr>
          <w:rFonts w:hint="eastAsia" w:ascii="宋体" w:hAnsi="宋体" w:cs="Arial"/>
          <w:b/>
          <w:szCs w:val="21"/>
        </w:rPr>
      </w:pPr>
    </w:p>
    <w:p>
      <w:pPr>
        <w:spacing w:line="360" w:lineRule="auto"/>
        <w:rPr>
          <w:rFonts w:hint="eastAsia" w:ascii="宋体" w:hAnsi="宋体" w:cs="Arial"/>
          <w:b/>
          <w:szCs w:val="21"/>
        </w:rPr>
      </w:pPr>
      <w:r>
        <w:rPr>
          <w:rFonts w:hint="eastAsia" w:ascii="宋体" w:hAnsi="宋体" w:cs="Arial"/>
          <w:b/>
          <w:szCs w:val="21"/>
        </w:rPr>
        <w:t>李稻葵 教授，</w:t>
      </w:r>
      <w:r>
        <w:rPr>
          <w:rFonts w:hint="eastAsia" w:ascii="宋体" w:hAnsi="宋体" w:cs="Arial"/>
          <w:szCs w:val="21"/>
        </w:rPr>
        <w:t>清华大学经济管理学院Freeman经济学讲席教授， 博士生导师，长江学者特聘教授。美国哈佛大学经济学博士。原央行货币政</w:t>
      </w:r>
      <w:r>
        <w:rPr>
          <w:rFonts w:ascii="宋体" w:hAnsi="宋体" w:cs="Courier New"/>
          <w:color w:val="000000"/>
          <w:sz w:val="28"/>
          <w:szCs w:val="28"/>
        </w:rPr>
        <w:drawing>
          <wp:anchor distT="0" distB="0" distL="114300" distR="114300" simplePos="0" relativeHeight="251683840" behindDoc="0" locked="0" layoutInCell="1" allowOverlap="1">
            <wp:simplePos x="0" y="0"/>
            <wp:positionH relativeFrom="column">
              <wp:posOffset>-47625</wp:posOffset>
            </wp:positionH>
            <wp:positionV relativeFrom="paragraph">
              <wp:posOffset>26035</wp:posOffset>
            </wp:positionV>
            <wp:extent cx="933450" cy="1143000"/>
            <wp:effectExtent l="0" t="0" r="0" b="0"/>
            <wp:wrapSquare wrapText="bothSides"/>
            <wp:docPr id="26"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2"/>
                    <pic:cNvPicPr>
                      <a:picLocks noChangeAspect="1"/>
                    </pic:cNvPicPr>
                  </pic:nvPicPr>
                  <pic:blipFill>
                    <a:blip r:embed="rId12"/>
                    <a:stretch>
                      <a:fillRect/>
                    </a:stretch>
                  </pic:blipFill>
                  <pic:spPr>
                    <a:xfrm>
                      <a:off x="0" y="0"/>
                      <a:ext cx="933450" cy="1143000"/>
                    </a:xfrm>
                    <a:prstGeom prst="rect">
                      <a:avLst/>
                    </a:prstGeom>
                    <a:noFill/>
                    <a:ln w="9525">
                      <a:noFill/>
                    </a:ln>
                  </pic:spPr>
                </pic:pic>
              </a:graphicData>
            </a:graphic>
          </wp:anchor>
        </w:drawing>
      </w:r>
      <w:r>
        <w:rPr>
          <w:rFonts w:hint="eastAsia" w:ascii="宋体" w:hAnsi="宋体" w:cs="Arial"/>
          <w:szCs w:val="21"/>
        </w:rPr>
        <w:t>策委员会委员，十一届全国政协委员，清华大学金融系主任，中国与世界经济研究中心(CCWE)主任</w:t>
      </w:r>
      <w:r>
        <w:rPr>
          <w:rFonts w:ascii="宋体" w:hAnsi="宋体" w:cs="Arial"/>
          <w:szCs w:val="21"/>
        </w:rPr>
        <w:t xml:space="preserve"> </w:t>
      </w:r>
    </w:p>
    <w:p>
      <w:pPr>
        <w:pStyle w:val="15"/>
        <w:spacing w:line="360" w:lineRule="auto"/>
        <w:rPr>
          <w:rFonts w:hint="eastAsia"/>
          <w:b/>
        </w:rPr>
      </w:pPr>
    </w:p>
    <w:p>
      <w:pPr>
        <w:widowControl/>
        <w:spacing w:line="360" w:lineRule="auto"/>
        <w:jc w:val="left"/>
        <w:rPr>
          <w:rFonts w:ascii="宋体" w:hAnsi="宋体" w:cs="宋体"/>
          <w:kern w:val="0"/>
          <w:szCs w:val="21"/>
        </w:rPr>
      </w:pPr>
      <w:r>
        <w:rPr>
          <w:rFonts w:ascii="宋体" w:hAnsi="宋体" w:cs="宋体"/>
          <w:b/>
          <w:kern w:val="0"/>
          <w:szCs w:val="21"/>
        </w:rPr>
        <w:drawing>
          <wp:anchor distT="12065" distB="20955" distL="120015" distR="118110" simplePos="0" relativeHeight="251665408" behindDoc="0" locked="0" layoutInCell="1" allowOverlap="1">
            <wp:simplePos x="0" y="0"/>
            <wp:positionH relativeFrom="column">
              <wp:posOffset>-175895</wp:posOffset>
            </wp:positionH>
            <wp:positionV relativeFrom="paragraph">
              <wp:posOffset>105410</wp:posOffset>
            </wp:positionV>
            <wp:extent cx="1040130" cy="1209675"/>
            <wp:effectExtent l="0" t="0" r="7620" b="9525"/>
            <wp:wrapSquare wrapText="bothSides"/>
            <wp:docPr id="8" name="图片 22"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 descr="11.jpg"/>
                    <pic:cNvPicPr>
                      <a:picLocks noChangeAspect="1" noChangeArrowheads="1"/>
                    </pic:cNvPicPr>
                  </pic:nvPicPr>
                  <pic:blipFill>
                    <a:blip r:embed="rId13" cstate="print"/>
                    <a:srcRect/>
                    <a:stretch>
                      <a:fillRect/>
                    </a:stretch>
                  </pic:blipFill>
                  <pic:spPr>
                    <a:xfrm>
                      <a:off x="0" y="0"/>
                      <a:ext cx="1040130" cy="1209675"/>
                    </a:xfrm>
                    <a:prstGeom prst="rect">
                      <a:avLst/>
                    </a:prstGeom>
                    <a:noFill/>
                    <a:ln>
                      <a:noFill/>
                    </a:ln>
                    <a:effectLst>
                      <a:softEdge rad="112500"/>
                    </a:effectLst>
                  </pic:spPr>
                </pic:pic>
              </a:graphicData>
            </a:graphic>
          </wp:anchor>
        </w:drawing>
      </w:r>
      <w:r>
        <w:rPr>
          <w:rFonts w:ascii="宋体" w:hAnsi="宋体" w:cs="宋体"/>
          <w:b/>
          <w:kern w:val="0"/>
          <w:szCs w:val="21"/>
        </w:rPr>
        <w:t>马春光</w:t>
      </w:r>
      <w:r>
        <w:rPr>
          <w:rFonts w:hint="eastAsia" w:ascii="宋体" w:hAnsi="宋体" w:cs="宋体"/>
          <w:b/>
          <w:kern w:val="0"/>
          <w:szCs w:val="21"/>
        </w:rPr>
        <w:t xml:space="preserve"> 教授</w:t>
      </w:r>
      <w:r>
        <w:rPr>
          <w:rFonts w:ascii="宋体" w:hAnsi="宋体" w:cs="宋体"/>
          <w:b/>
          <w:kern w:val="0"/>
          <w:szCs w:val="21"/>
        </w:rPr>
        <w:t>，</w:t>
      </w:r>
      <w:r>
        <w:rPr>
          <w:rFonts w:ascii="宋体" w:hAnsi="宋体" w:cs="宋体"/>
          <w:kern w:val="0"/>
          <w:szCs w:val="21"/>
        </w:rPr>
        <w:t>对外经济贸易大学国际商学院教授博士生导师。曾任对外经济贸易大学副校长。国际商学院院长。现为澳大利亚国立大学管理研究生院客座教授。1999年，马春光教授被国务院学位委员会和教育部分别聘为“全国MBA教育指导委员会”委员和“教育部高等学校工商管理类学科专业教学指导委员会”委员。</w:t>
      </w:r>
    </w:p>
    <w:p>
      <w:pPr>
        <w:spacing w:line="360" w:lineRule="auto"/>
        <w:rPr>
          <w:rFonts w:hint="eastAsia" w:ascii="宋体" w:hAnsi="宋体"/>
          <w:b/>
          <w:szCs w:val="21"/>
        </w:rPr>
      </w:pPr>
      <w:r>
        <w:rPr>
          <w:rFonts w:hint="eastAsia" w:ascii="宋体" w:hAnsi="宋体"/>
          <w:b/>
          <w:szCs w:val="21"/>
        </w:rPr>
        <w:drawing>
          <wp:anchor distT="12065" distB="19050" distL="114300" distR="120650" simplePos="0" relativeHeight="251668480" behindDoc="0" locked="0" layoutInCell="1" allowOverlap="1">
            <wp:simplePos x="0" y="0"/>
            <wp:positionH relativeFrom="column">
              <wp:posOffset>-1148715</wp:posOffset>
            </wp:positionH>
            <wp:positionV relativeFrom="paragraph">
              <wp:posOffset>183515</wp:posOffset>
            </wp:positionV>
            <wp:extent cx="1000125" cy="1171575"/>
            <wp:effectExtent l="0" t="0" r="9525" b="9525"/>
            <wp:wrapSquare wrapText="bothSides"/>
            <wp:docPr id="11" name="Picture 67" descr="http://imgsrc.baidu.com/baike/abpic/item/ac0acf132c04f8295baf5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7" descr="http://imgsrc.baidu.com/baike/abpic/item/ac0acf132c04f8295baf5304.jpg"/>
                    <pic:cNvPicPr>
                      <a:picLocks noChangeAspect="1" noChangeArrowheads="1"/>
                    </pic:cNvPicPr>
                  </pic:nvPicPr>
                  <pic:blipFill>
                    <a:blip r:embed="rId14" r:link="rId15" cstate="print"/>
                    <a:srcRect/>
                    <a:stretch>
                      <a:fillRect/>
                    </a:stretch>
                  </pic:blipFill>
                  <pic:spPr>
                    <a:xfrm>
                      <a:off x="0" y="0"/>
                      <a:ext cx="1000125" cy="1171575"/>
                    </a:xfrm>
                    <a:prstGeom prst="rect">
                      <a:avLst/>
                    </a:prstGeom>
                    <a:noFill/>
                    <a:ln>
                      <a:noFill/>
                    </a:ln>
                    <a:effectLst>
                      <a:softEdge rad="112500"/>
                    </a:effectLst>
                  </pic:spPr>
                </pic:pic>
              </a:graphicData>
            </a:graphic>
          </wp:anchor>
        </w:drawing>
      </w:r>
    </w:p>
    <w:p>
      <w:pPr>
        <w:spacing w:line="360" w:lineRule="auto"/>
        <w:rPr>
          <w:rStyle w:val="18"/>
          <w:rFonts w:ascii="宋体" w:hAnsi="宋体"/>
          <w:b/>
          <w:color w:val="auto"/>
          <w:szCs w:val="21"/>
        </w:rPr>
      </w:pPr>
      <w:r>
        <w:rPr>
          <w:rFonts w:hint="eastAsia" w:ascii="宋体" w:hAnsi="宋体"/>
          <w:b/>
          <w:szCs w:val="21"/>
        </w:rPr>
        <w:t>郎咸平 教授</w:t>
      </w:r>
      <w:r>
        <w:rPr>
          <w:rFonts w:hint="eastAsia" w:ascii="宋体" w:hAnsi="宋体"/>
          <w:szCs w:val="21"/>
        </w:rPr>
        <w:t>，经济学家，美国宾西法尼亚大学沃顿商学院博士；现任香港中文大学讲座教授。郎咸平作为世界级的公司治理和金融专家，主要致力于公司监管、项目融资、直接投资、企业重组、兼并与收购、破产等方面的研究，成就斐然。</w:t>
      </w:r>
    </w:p>
    <w:p>
      <w:pPr>
        <w:spacing w:line="360" w:lineRule="auto"/>
        <w:rPr>
          <w:rFonts w:hint="eastAsia"/>
          <w:b/>
        </w:rPr>
      </w:pPr>
    </w:p>
    <w:p>
      <w:pPr>
        <w:spacing w:line="360" w:lineRule="auto"/>
      </w:pPr>
      <w:r>
        <w:rPr>
          <w:rFonts w:hint="eastAsia"/>
          <w:b/>
        </w:rPr>
        <w:drawing>
          <wp:anchor distT="12065" distB="19685" distL="120015" distR="118745" simplePos="0" relativeHeight="251682816" behindDoc="0" locked="0" layoutInCell="1" allowOverlap="1">
            <wp:simplePos x="0" y="0"/>
            <wp:positionH relativeFrom="column">
              <wp:posOffset>-156845</wp:posOffset>
            </wp:positionH>
            <wp:positionV relativeFrom="paragraph">
              <wp:posOffset>18415</wp:posOffset>
            </wp:positionV>
            <wp:extent cx="1047115" cy="1190625"/>
            <wp:effectExtent l="0" t="0" r="635" b="9525"/>
            <wp:wrapSquare wrapText="bothSides"/>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pic:cNvPicPr>
                      <a:picLocks noChangeAspect="1" noChangeArrowheads="1"/>
                    </pic:cNvPicPr>
                  </pic:nvPicPr>
                  <pic:blipFill>
                    <a:blip r:embed="rId16" cstate="print"/>
                    <a:srcRect/>
                    <a:stretch>
                      <a:fillRect/>
                    </a:stretch>
                  </pic:blipFill>
                  <pic:spPr>
                    <a:xfrm>
                      <a:off x="0" y="0"/>
                      <a:ext cx="1047115" cy="1190625"/>
                    </a:xfrm>
                    <a:prstGeom prst="rect">
                      <a:avLst/>
                    </a:prstGeom>
                    <a:noFill/>
                    <a:ln>
                      <a:noFill/>
                    </a:ln>
                    <a:effectLst>
                      <a:softEdge rad="112500"/>
                    </a:effectLst>
                  </pic:spPr>
                </pic:pic>
              </a:graphicData>
            </a:graphic>
          </wp:anchor>
        </w:drawing>
      </w:r>
      <w:r>
        <w:rPr>
          <w:rFonts w:hint="eastAsia"/>
          <w:b/>
        </w:rPr>
        <w:t>许小年 教授</w:t>
      </w:r>
      <w:r>
        <w:rPr>
          <w:rFonts w:hint="eastAsia"/>
        </w:rPr>
        <w:t>，现任中欧国际工商学院经济学和金融学教授，曾任职美林证券亚太高级经济学家，世界银行顾问。曾获中国经济学界最高奖“孙冶方经济科学奖”。许先生为人直率，敢为敢言，有评论说，他看似惊人的言论之下，隐藏着经济学家的独立精神和最朴实的市场经济原理。</w:t>
      </w:r>
    </w:p>
    <w:p>
      <w:pPr>
        <w:spacing w:line="360" w:lineRule="auto"/>
        <w:rPr>
          <w:rFonts w:hint="eastAsia" w:ascii="宋体" w:hAnsi="宋体" w:cs="Courier New"/>
          <w:b/>
          <w:szCs w:val="21"/>
        </w:rPr>
      </w:pPr>
      <w:r>
        <w:rPr>
          <w:rFonts w:hint="eastAsia" w:ascii="宋体" w:hAnsi="宋体"/>
          <w:szCs w:val="21"/>
        </w:rPr>
        <w:drawing>
          <wp:anchor distT="12065" distB="20320" distL="120015" distR="119380" simplePos="0" relativeHeight="251667456" behindDoc="0" locked="0" layoutInCell="1" allowOverlap="1">
            <wp:simplePos x="0" y="0"/>
            <wp:positionH relativeFrom="column">
              <wp:posOffset>-1202055</wp:posOffset>
            </wp:positionH>
            <wp:positionV relativeFrom="paragraph">
              <wp:posOffset>206375</wp:posOffset>
            </wp:positionV>
            <wp:extent cx="1047750" cy="1275715"/>
            <wp:effectExtent l="0" t="0" r="0" b="635"/>
            <wp:wrapSquare wrapText="bothSides"/>
            <wp:docPr id="10" name="图片 20" desc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0" descr="0.jpg"/>
                    <pic:cNvPicPr>
                      <a:picLocks noChangeAspect="1" noChangeArrowheads="1"/>
                    </pic:cNvPicPr>
                  </pic:nvPicPr>
                  <pic:blipFill>
                    <a:blip r:embed="rId17" cstate="print"/>
                    <a:srcRect/>
                    <a:stretch>
                      <a:fillRect/>
                    </a:stretch>
                  </pic:blipFill>
                  <pic:spPr>
                    <a:xfrm>
                      <a:off x="0" y="0"/>
                      <a:ext cx="1047750" cy="1276350"/>
                    </a:xfrm>
                    <a:prstGeom prst="rect">
                      <a:avLst/>
                    </a:prstGeom>
                    <a:noFill/>
                    <a:ln>
                      <a:noFill/>
                    </a:ln>
                    <a:effectLst>
                      <a:softEdge rad="112500"/>
                    </a:effectLst>
                  </pic:spPr>
                </pic:pic>
              </a:graphicData>
            </a:graphic>
          </wp:anchor>
        </w:drawing>
      </w:r>
    </w:p>
    <w:p>
      <w:pPr>
        <w:spacing w:line="360" w:lineRule="auto"/>
        <w:rPr>
          <w:rFonts w:ascii="宋体" w:hAnsi="宋体"/>
          <w:b/>
          <w:bCs/>
          <w:sz w:val="28"/>
          <w:szCs w:val="21"/>
        </w:rPr>
      </w:pPr>
      <w:r>
        <w:rPr>
          <w:rFonts w:hint="eastAsia" w:ascii="宋体" w:hAnsi="宋体" w:cs="Courier New"/>
          <w:b/>
          <w:szCs w:val="21"/>
        </w:rPr>
        <w:t>张玉杰 教授，</w:t>
      </w:r>
      <w:r>
        <w:fldChar w:fldCharType="begin"/>
      </w:r>
      <w:r>
        <w:instrText xml:space="preserve">HYPERLINK "http://baike.baidu.com/view/1563.htm" \t "_blank"</w:instrText>
      </w:r>
      <w:r>
        <w:fldChar w:fldCharType="separate"/>
      </w:r>
      <w:r>
        <w:rPr>
          <w:rStyle w:val="18"/>
        </w:rPr>
        <w:t>清华大学</w:t>
      </w:r>
      <w:r>
        <w:fldChar w:fldCharType="end"/>
      </w:r>
      <w:r>
        <w:rPr>
          <w:rStyle w:val="18"/>
        </w:rPr>
        <w:t>经济管理学院博士后、</w:t>
      </w:r>
      <w:r>
        <w:rPr>
          <w:rStyle w:val="18"/>
          <w:rFonts w:hint="eastAsia"/>
        </w:rPr>
        <w:t>清华大学中国企业创业研究中心研究员、</w:t>
      </w:r>
      <w:r>
        <w:rPr>
          <w:rStyle w:val="18"/>
        </w:rPr>
        <w:t>清华大学</w:t>
      </w:r>
      <w:r>
        <w:rPr>
          <w:rStyle w:val="18"/>
          <w:rFonts w:hint="eastAsia" w:ascii="宋体" w:hAnsi="宋体"/>
        </w:rPr>
        <w:t>21</w:t>
      </w:r>
      <w:r>
        <w:rPr>
          <w:rStyle w:val="18"/>
        </w:rPr>
        <w:t>世纪发展研究院特聘研究员。</w:t>
      </w:r>
      <w:r>
        <w:rPr>
          <w:rStyle w:val="18"/>
          <w:rFonts w:hint="eastAsia"/>
        </w:rPr>
        <w:t>国家经贸委中国企业管理培训中心教授。曾主持大唐集团竞争策略、北京工业发展规划、北京光机电产业基地设计与发展规划、长江三角洲经济发展等多项研究课题。</w:t>
      </w:r>
    </w:p>
    <w:p>
      <w:pPr>
        <w:spacing w:line="276" w:lineRule="auto"/>
        <w:rPr>
          <w:rFonts w:hint="eastAsia" w:ascii="宋体" w:hAnsi="宋体"/>
          <w:b/>
          <w:szCs w:val="21"/>
        </w:rPr>
      </w:pPr>
    </w:p>
    <w:p>
      <w:pPr>
        <w:spacing w:line="276" w:lineRule="auto"/>
        <w:rPr>
          <w:rFonts w:hint="eastAsia" w:ascii="宋体" w:hAnsi="宋体"/>
          <w:b/>
          <w:bCs/>
          <w:sz w:val="28"/>
          <w:szCs w:val="21"/>
        </w:rPr>
      </w:pPr>
      <w:r>
        <w:rPr>
          <w:rFonts w:ascii="宋体" w:hAnsi="宋体"/>
          <w:b/>
          <w:bCs/>
          <w:sz w:val="28"/>
          <w:szCs w:val="21"/>
        </w:rPr>
        <w:drawing>
          <wp:anchor distT="12065" distB="15875" distL="120015" distR="121285" simplePos="0" relativeHeight="251666432" behindDoc="0" locked="0" layoutInCell="1" allowOverlap="1">
            <wp:simplePos x="0" y="0"/>
            <wp:positionH relativeFrom="column">
              <wp:posOffset>-130175</wp:posOffset>
            </wp:positionH>
            <wp:positionV relativeFrom="paragraph">
              <wp:posOffset>48260</wp:posOffset>
            </wp:positionV>
            <wp:extent cx="951865" cy="1095375"/>
            <wp:effectExtent l="0" t="0" r="635" b="9525"/>
            <wp:wrapSquare wrapText="bothSides"/>
            <wp:docPr id="9" name="Picture 65" descr="http://imgsrc.baidu.com/baike/abpic/item/a992e31f7c0ef534304e15dd.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5" descr="http://imgsrc.baidu.com/baike/abpic/item/a992e31f7c0ef534304e15dd.jpg"/>
                    <pic:cNvPicPr>
                      <a:picLocks noChangeAspect="1" noChangeArrowheads="1"/>
                    </pic:cNvPicPr>
                  </pic:nvPicPr>
                  <pic:blipFill>
                    <a:blip r:embed="rId19" r:link="rId20" cstate="print"/>
                    <a:srcRect/>
                    <a:stretch>
                      <a:fillRect/>
                    </a:stretch>
                  </pic:blipFill>
                  <pic:spPr>
                    <a:xfrm>
                      <a:off x="0" y="0"/>
                      <a:ext cx="951865" cy="1095375"/>
                    </a:xfrm>
                    <a:prstGeom prst="rect">
                      <a:avLst/>
                    </a:prstGeom>
                    <a:noFill/>
                    <a:ln>
                      <a:noFill/>
                    </a:ln>
                    <a:effectLst>
                      <a:softEdge rad="112500"/>
                    </a:effectLst>
                  </pic:spPr>
                </pic:pic>
              </a:graphicData>
            </a:graphic>
          </wp:anchor>
        </w:drawing>
      </w:r>
      <w:r>
        <w:rPr>
          <w:rFonts w:ascii="宋体" w:hAnsi="宋体"/>
          <w:b/>
          <w:szCs w:val="21"/>
        </w:rPr>
        <w:t>金占明</w:t>
      </w:r>
      <w:r>
        <w:rPr>
          <w:rFonts w:hint="eastAsia" w:ascii="宋体" w:hAnsi="宋体"/>
          <w:b/>
          <w:szCs w:val="21"/>
        </w:rPr>
        <w:t xml:space="preserve"> 教授</w:t>
      </w:r>
      <w:r>
        <w:rPr>
          <w:rFonts w:ascii="宋体" w:hAnsi="宋体"/>
          <w:b/>
          <w:szCs w:val="21"/>
        </w:rPr>
        <w:t>，</w:t>
      </w:r>
      <w:r>
        <w:rPr>
          <w:rFonts w:ascii="宋体" w:hAnsi="宋体"/>
          <w:szCs w:val="21"/>
        </w:rPr>
        <w:t>清华大学经济管理学院教授</w:t>
      </w:r>
      <w:r>
        <w:rPr>
          <w:rFonts w:ascii="Arial" w:hAnsi="Arial" w:cs="Arial"/>
          <w:color w:val="000000"/>
          <w:szCs w:val="21"/>
        </w:rPr>
        <w:t>博士后、企业管理系副主任</w:t>
      </w:r>
      <w:r>
        <w:rPr>
          <w:rFonts w:ascii="宋体" w:hAnsi="宋体"/>
          <w:szCs w:val="21"/>
        </w:rPr>
        <w:t>。主讲企业管理和战略管理。在教授实践中充分借鉴西方现代企业管理与战略管理的最新研究成果，并将其与中国企业的经营实践相结合，将战略模拟和案例引入教学。1994年获长谷优秀青年教师奖，同年获经管学院一等奖教金。</w:t>
      </w:r>
    </w:p>
    <w:p>
      <w:pPr>
        <w:spacing w:line="276" w:lineRule="auto"/>
        <w:rPr>
          <w:rFonts w:hint="eastAsia" w:ascii="宋体" w:hAnsi="宋体"/>
          <w:b/>
          <w:bCs/>
          <w:sz w:val="28"/>
          <w:szCs w:val="21"/>
        </w:rPr>
      </w:pPr>
    </w:p>
    <w:p>
      <w:pPr>
        <w:spacing w:line="276" w:lineRule="auto"/>
        <w:rPr>
          <w:rFonts w:ascii="宋体" w:hAnsi="宋体"/>
          <w:b/>
          <w:bCs/>
          <w:sz w:val="28"/>
          <w:szCs w:val="21"/>
        </w:rPr>
      </w:pPr>
      <w:r>
        <w:rPr>
          <w:rFonts w:hint="eastAsia" w:eastAsia="黑体"/>
          <w:b/>
          <w:color w:val="993300"/>
          <w:sz w:val="28"/>
        </w:rPr>
        <w:t>六</w:t>
      </w:r>
      <w:r>
        <w:rPr>
          <w:rFonts w:eastAsia="黑体"/>
          <w:b/>
          <w:color w:val="993300"/>
          <w:sz w:val="28"/>
        </w:rPr>
        <w:t>、报名申请Ad</w:t>
      </w:r>
      <w:r>
        <w:rPr>
          <w:rFonts w:hint="eastAsia" w:eastAsia="黑体"/>
          <w:b/>
          <w:color w:val="993300"/>
          <w:sz w:val="28"/>
        </w:rPr>
        <w:t>mission</w:t>
      </w:r>
    </w:p>
    <w:p>
      <w:pPr>
        <w:widowControl/>
        <w:snapToGrid w:val="0"/>
        <w:spacing w:line="360" w:lineRule="auto"/>
        <w:ind w:firstLine="310" w:firstLineChars="147"/>
        <w:jc w:val="left"/>
        <w:rPr>
          <w:b/>
          <w:szCs w:val="21"/>
        </w:rPr>
      </w:pPr>
      <w:r>
        <w:rPr>
          <w:rFonts w:hint="eastAsia"/>
          <w:b/>
          <w:szCs w:val="21"/>
        </w:rPr>
        <w:t>【报名材料】</w:t>
      </w:r>
    </w:p>
    <w:p>
      <w:pPr>
        <w:widowControl/>
        <w:snapToGrid w:val="0"/>
        <w:spacing w:line="360" w:lineRule="auto"/>
        <w:ind w:firstLine="308" w:firstLineChars="147"/>
        <w:jc w:val="left"/>
        <w:rPr>
          <w:bCs/>
          <w:kern w:val="0"/>
          <w:szCs w:val="21"/>
        </w:rPr>
      </w:pPr>
      <w:r>
        <w:rPr>
          <w:rFonts w:hint="eastAsia"/>
          <w:bCs/>
          <w:kern w:val="0"/>
          <w:szCs w:val="21"/>
        </w:rPr>
        <w:t>1、填写中英文入学申请书、三封推荐信（详见申请表）；</w:t>
      </w:r>
    </w:p>
    <w:p>
      <w:pPr>
        <w:widowControl/>
        <w:snapToGrid w:val="0"/>
        <w:spacing w:line="360" w:lineRule="auto"/>
        <w:ind w:firstLine="308" w:firstLineChars="147"/>
        <w:jc w:val="left"/>
        <w:rPr>
          <w:bCs/>
          <w:kern w:val="0"/>
          <w:szCs w:val="21"/>
        </w:rPr>
      </w:pPr>
      <w:r>
        <w:rPr>
          <w:rFonts w:hint="eastAsia"/>
          <w:bCs/>
          <w:kern w:val="0"/>
          <w:szCs w:val="21"/>
        </w:rPr>
        <w:t>2、提交毕业证/学位/学历证书/成绩单件及复印件；</w:t>
      </w:r>
    </w:p>
    <w:p>
      <w:pPr>
        <w:widowControl/>
        <w:snapToGrid w:val="0"/>
        <w:spacing w:line="360" w:lineRule="auto"/>
        <w:ind w:firstLine="308" w:firstLineChars="147"/>
        <w:jc w:val="left"/>
        <w:rPr>
          <w:bCs/>
          <w:kern w:val="0"/>
          <w:szCs w:val="21"/>
        </w:rPr>
      </w:pPr>
      <w:r>
        <w:rPr>
          <w:rFonts w:hint="eastAsia"/>
          <w:bCs/>
          <w:kern w:val="0"/>
          <w:szCs w:val="21"/>
        </w:rPr>
        <w:t>3、中英文简历、现职名片；</w:t>
      </w:r>
    </w:p>
    <w:p>
      <w:pPr>
        <w:widowControl/>
        <w:snapToGrid w:val="0"/>
        <w:spacing w:line="360" w:lineRule="auto"/>
        <w:ind w:firstLine="308" w:firstLineChars="147"/>
        <w:jc w:val="left"/>
        <w:rPr>
          <w:bCs/>
          <w:kern w:val="0"/>
          <w:szCs w:val="21"/>
        </w:rPr>
      </w:pPr>
      <w:r>
        <w:rPr>
          <w:rFonts w:hint="eastAsia"/>
          <w:bCs/>
          <w:kern w:val="0"/>
          <w:szCs w:val="21"/>
        </w:rPr>
        <w:t>4、身份证复印件；</w:t>
      </w:r>
    </w:p>
    <w:p>
      <w:pPr>
        <w:widowControl/>
        <w:snapToGrid w:val="0"/>
        <w:spacing w:line="360" w:lineRule="auto"/>
        <w:ind w:firstLine="308" w:firstLineChars="147"/>
        <w:jc w:val="left"/>
        <w:rPr>
          <w:bCs/>
          <w:kern w:val="0"/>
          <w:szCs w:val="21"/>
        </w:rPr>
      </w:pPr>
      <w:r>
        <w:rPr>
          <w:rFonts w:hint="eastAsia"/>
          <w:bCs/>
          <w:kern w:val="0"/>
          <w:szCs w:val="21"/>
        </w:rPr>
        <w:t>5、二寸彩色免冠近照6张（蓝底，背后署名）；</w:t>
      </w:r>
    </w:p>
    <w:p>
      <w:pPr>
        <w:widowControl/>
        <w:snapToGrid w:val="0"/>
        <w:spacing w:line="360" w:lineRule="auto"/>
        <w:ind w:firstLine="308" w:firstLineChars="147"/>
        <w:jc w:val="left"/>
        <w:rPr>
          <w:rFonts w:hint="eastAsia"/>
          <w:bCs/>
          <w:kern w:val="0"/>
          <w:szCs w:val="21"/>
        </w:rPr>
      </w:pPr>
      <w:r>
        <w:rPr>
          <w:rFonts w:hint="eastAsia"/>
          <w:bCs/>
          <w:kern w:val="0"/>
          <w:szCs w:val="21"/>
        </w:rPr>
        <w:t>经校方审核合格后发放美国管理技术大学的录取通知书。</w:t>
      </w:r>
    </w:p>
    <w:p>
      <w:pPr>
        <w:spacing w:line="360" w:lineRule="auto"/>
        <w:ind w:firstLine="310" w:firstLineChars="147"/>
        <w:rPr>
          <w:b/>
          <w:szCs w:val="21"/>
        </w:rPr>
      </w:pPr>
      <w:r>
        <w:rPr>
          <w:b/>
          <w:szCs w:val="21"/>
        </w:rPr>
        <w:t>【</w:t>
      </w:r>
      <w:r>
        <w:rPr>
          <w:rFonts w:hint="eastAsia"/>
          <w:b/>
          <w:bCs/>
          <w:kern w:val="0"/>
          <w:szCs w:val="21"/>
        </w:rPr>
        <w:t>学习费用</w:t>
      </w:r>
      <w:r>
        <w:rPr>
          <w:b/>
          <w:szCs w:val="21"/>
        </w:rPr>
        <w:t>】</w:t>
      </w:r>
    </w:p>
    <w:p>
      <w:pPr>
        <w:spacing w:line="360" w:lineRule="auto"/>
        <w:ind w:firstLine="422" w:firstLineChars="200"/>
        <w:rPr>
          <w:b/>
          <w:szCs w:val="21"/>
        </w:rPr>
      </w:pPr>
      <w:r>
        <w:rPr>
          <w:rFonts w:hint="eastAsia"/>
          <w:b/>
          <w:szCs w:val="21"/>
        </w:rPr>
        <w:t>学费（含报名费、注册费、教材费、授课费、学位证书费等）：</w:t>
      </w:r>
    </w:p>
    <w:p>
      <w:pPr>
        <w:spacing w:line="360" w:lineRule="auto"/>
        <w:ind w:firstLine="426" w:firstLineChars="202"/>
        <w:rPr>
          <w:b/>
          <w:color w:val="FF0000"/>
          <w:szCs w:val="21"/>
        </w:rPr>
      </w:pPr>
      <w:r>
        <w:rPr>
          <w:rFonts w:hint="eastAsia"/>
          <w:b/>
          <w:color w:val="FF0000"/>
          <w:szCs w:val="21"/>
        </w:rPr>
        <w:t>MBA学费：￥</w:t>
      </w:r>
      <w:r>
        <w:rPr>
          <w:rFonts w:hint="eastAsia"/>
          <w:b/>
          <w:color w:val="FF0000"/>
          <w:szCs w:val="21"/>
          <w:lang w:val="en-US" w:eastAsia="zh-CN"/>
        </w:rPr>
        <w:t>238</w:t>
      </w:r>
      <w:r>
        <w:rPr>
          <w:rFonts w:hint="eastAsia"/>
          <w:b/>
          <w:color w:val="FF0000"/>
          <w:szCs w:val="21"/>
        </w:rPr>
        <w:t>，</w:t>
      </w:r>
      <w:r>
        <w:rPr>
          <w:b/>
          <w:color w:val="FF0000"/>
          <w:szCs w:val="21"/>
        </w:rPr>
        <w:t>000</w:t>
      </w:r>
      <w:r>
        <w:rPr>
          <w:rFonts w:hint="eastAsia"/>
          <w:b/>
          <w:color w:val="FF0000"/>
          <w:szCs w:val="21"/>
        </w:rPr>
        <w:t>元；</w:t>
      </w:r>
    </w:p>
    <w:p>
      <w:pPr>
        <w:spacing w:line="360" w:lineRule="auto"/>
        <w:ind w:firstLine="426" w:firstLineChars="202"/>
        <w:rPr>
          <w:rFonts w:hint="eastAsia"/>
          <w:b/>
          <w:color w:val="FF0000"/>
          <w:szCs w:val="21"/>
        </w:rPr>
      </w:pPr>
      <w:r>
        <w:rPr>
          <w:rFonts w:hint="eastAsia"/>
          <w:b/>
          <w:color w:val="FF0000"/>
          <w:szCs w:val="21"/>
        </w:rPr>
        <w:t>DBA学费：</w:t>
      </w:r>
      <w:r>
        <w:rPr>
          <w:rFonts w:hint="eastAsia"/>
          <w:b/>
          <w:color w:val="FF0000"/>
          <w:szCs w:val="21"/>
          <w:lang w:val="en-US" w:eastAsia="zh-CN"/>
        </w:rPr>
        <w:t xml:space="preserve"> </w:t>
      </w:r>
      <w:r>
        <w:rPr>
          <w:rFonts w:hint="eastAsia"/>
          <w:b/>
          <w:color w:val="FF0000"/>
          <w:szCs w:val="21"/>
        </w:rPr>
        <w:t>￥3</w:t>
      </w:r>
      <w:r>
        <w:rPr>
          <w:rFonts w:hint="eastAsia"/>
          <w:b/>
          <w:color w:val="FF0000"/>
          <w:szCs w:val="21"/>
          <w:lang w:val="en-US" w:eastAsia="zh-CN"/>
        </w:rPr>
        <w:t>9</w:t>
      </w:r>
      <w:r>
        <w:rPr>
          <w:rFonts w:hint="eastAsia"/>
          <w:b/>
          <w:color w:val="FF0000"/>
          <w:szCs w:val="21"/>
        </w:rPr>
        <w:t>8，000元</w:t>
      </w:r>
      <w:bookmarkStart w:id="2" w:name="_GoBack"/>
      <w:bookmarkEnd w:id="2"/>
      <w:r>
        <w:rPr>
          <w:rFonts w:hint="eastAsia"/>
          <w:b/>
          <w:color w:val="FF0000"/>
          <w:szCs w:val="21"/>
        </w:rPr>
        <w:t>；</w:t>
      </w:r>
    </w:p>
    <w:p>
      <w:pPr>
        <w:spacing w:line="360" w:lineRule="auto"/>
        <w:ind w:firstLine="426" w:firstLineChars="202"/>
        <w:rPr>
          <w:rFonts w:hint="eastAsia" w:eastAsia="宋体"/>
          <w:b/>
          <w:color w:val="FF0000"/>
          <w:szCs w:val="21"/>
          <w:lang w:eastAsia="zh-CN"/>
        </w:rPr>
      </w:pPr>
      <w:r>
        <w:rPr>
          <w:rFonts w:hint="eastAsia"/>
          <w:b/>
          <w:color w:val="FF0000"/>
          <w:szCs w:val="21"/>
          <w:lang w:eastAsia="zh-CN"/>
        </w:rPr>
        <w:t>硕博连读学费：</w:t>
      </w:r>
      <w:r>
        <w:rPr>
          <w:rFonts w:hint="eastAsia"/>
          <w:b/>
          <w:color w:val="FF0000"/>
          <w:szCs w:val="21"/>
        </w:rPr>
        <w:t>￥</w:t>
      </w:r>
      <w:r>
        <w:rPr>
          <w:rFonts w:hint="eastAsia"/>
          <w:b/>
          <w:color w:val="FF0000"/>
          <w:szCs w:val="21"/>
          <w:lang w:val="en-US" w:eastAsia="zh-CN"/>
        </w:rPr>
        <w:t>616，000元；</w:t>
      </w:r>
    </w:p>
    <w:p>
      <w:pPr>
        <w:widowControl/>
        <w:snapToGrid w:val="0"/>
        <w:spacing w:line="360" w:lineRule="auto"/>
        <w:ind w:firstLine="310" w:firstLineChars="147"/>
        <w:jc w:val="left"/>
        <w:rPr>
          <w:b/>
          <w:szCs w:val="21"/>
        </w:rPr>
      </w:pPr>
      <w:r>
        <w:rPr>
          <w:b/>
          <w:szCs w:val="21"/>
        </w:rPr>
        <w:drawing>
          <wp:anchor distT="0" distB="0" distL="114300" distR="114300" simplePos="0" relativeHeight="251659264" behindDoc="0" locked="0" layoutInCell="1" allowOverlap="1">
            <wp:simplePos x="0" y="0"/>
            <wp:positionH relativeFrom="column">
              <wp:posOffset>-123825</wp:posOffset>
            </wp:positionH>
            <wp:positionV relativeFrom="paragraph">
              <wp:posOffset>161925</wp:posOffset>
            </wp:positionV>
            <wp:extent cx="6010275" cy="2330450"/>
            <wp:effectExtent l="0" t="0" r="9525" b="12700"/>
            <wp:wrapNone/>
            <wp:docPr id="2" name="图片 50" descr="过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0" descr="过程"/>
                    <pic:cNvPicPr>
                      <a:picLocks noChangeAspect="1"/>
                    </pic:cNvPicPr>
                  </pic:nvPicPr>
                  <pic:blipFill>
                    <a:blip r:embed="rId21"/>
                    <a:srcRect r="4103" b="10706"/>
                    <a:stretch>
                      <a:fillRect/>
                    </a:stretch>
                  </pic:blipFill>
                  <pic:spPr>
                    <a:xfrm>
                      <a:off x="0" y="0"/>
                      <a:ext cx="6010275" cy="2330450"/>
                    </a:xfrm>
                    <a:prstGeom prst="rect">
                      <a:avLst/>
                    </a:prstGeom>
                    <a:noFill/>
                    <a:ln w="9525">
                      <a:noFill/>
                    </a:ln>
                  </pic:spPr>
                </pic:pic>
              </a:graphicData>
            </a:graphic>
          </wp:anchor>
        </w:drawing>
      </w:r>
      <w:r>
        <w:rPr>
          <w:b/>
          <w:szCs w:val="21"/>
        </w:rPr>
        <w:t>【</w:t>
      </w:r>
      <w:r>
        <w:rPr>
          <w:rFonts w:hint="eastAsia"/>
          <w:b/>
          <w:szCs w:val="21"/>
        </w:rPr>
        <w:t>入学及学习流程</w:t>
      </w:r>
      <w:r>
        <w:rPr>
          <w:b/>
          <w:szCs w:val="21"/>
        </w:rPr>
        <w:t>】</w:t>
      </w:r>
    </w:p>
    <w:p>
      <w:pPr>
        <w:widowControl/>
        <w:spacing w:line="360" w:lineRule="auto"/>
        <w:jc w:val="left"/>
        <w:rPr>
          <w:b/>
          <w:color w:val="993300"/>
          <w:kern w:val="0"/>
          <w:sz w:val="24"/>
        </w:rPr>
      </w:pPr>
    </w:p>
    <w:p>
      <w:pPr>
        <w:widowControl/>
        <w:spacing w:line="360" w:lineRule="auto"/>
        <w:jc w:val="left"/>
        <w:rPr>
          <w:b/>
          <w:color w:val="993300"/>
          <w:kern w:val="0"/>
          <w:sz w:val="24"/>
        </w:rPr>
      </w:pPr>
    </w:p>
    <w:p>
      <w:pPr>
        <w:widowControl/>
        <w:spacing w:line="360" w:lineRule="auto"/>
        <w:jc w:val="left"/>
        <w:rPr>
          <w:b/>
          <w:color w:val="993300"/>
          <w:kern w:val="0"/>
          <w:sz w:val="24"/>
        </w:rPr>
      </w:pPr>
    </w:p>
    <w:p>
      <w:pPr>
        <w:widowControl/>
        <w:spacing w:line="360" w:lineRule="auto"/>
        <w:jc w:val="left"/>
        <w:rPr>
          <w:b/>
          <w:color w:val="993300"/>
          <w:kern w:val="0"/>
          <w:sz w:val="24"/>
        </w:rPr>
      </w:pPr>
    </w:p>
    <w:p>
      <w:pPr>
        <w:spacing w:line="360" w:lineRule="auto"/>
        <w:rPr>
          <w:b/>
          <w:color w:val="993300"/>
          <w:kern w:val="0"/>
          <w:sz w:val="24"/>
        </w:rPr>
      </w:pPr>
    </w:p>
    <w:p>
      <w:pPr>
        <w:spacing w:line="360" w:lineRule="auto"/>
        <w:rPr>
          <w:rFonts w:eastAsia="黑体"/>
          <w:b/>
          <w:color w:val="993300"/>
          <w:sz w:val="28"/>
        </w:rPr>
      </w:pPr>
    </w:p>
    <w:p>
      <w:pPr>
        <w:spacing w:line="360" w:lineRule="auto"/>
        <w:rPr>
          <w:rFonts w:eastAsia="黑体"/>
          <w:b/>
          <w:color w:val="993300"/>
          <w:sz w:val="28"/>
        </w:rPr>
      </w:pPr>
    </w:p>
    <w:p>
      <w:pPr>
        <w:spacing w:line="360" w:lineRule="auto"/>
        <w:rPr>
          <w:rFonts w:eastAsia="黑体"/>
          <w:b/>
          <w:color w:val="FF0000"/>
          <w:sz w:val="28"/>
        </w:rPr>
      </w:pPr>
      <w:r>
        <w:rPr>
          <w:rFonts w:hint="eastAsia" w:eastAsia="黑体"/>
          <w:b/>
          <w:color w:val="993300"/>
          <w:sz w:val="28"/>
        </w:rPr>
        <w:t>七、</w:t>
      </w:r>
      <w:r>
        <w:rPr>
          <w:rFonts w:eastAsia="黑体"/>
          <w:b/>
          <w:color w:val="993300"/>
          <w:sz w:val="28"/>
        </w:rPr>
        <w:t>证书发放Degree Award</w:t>
      </w:r>
    </w:p>
    <w:p>
      <w:pPr>
        <w:widowControl/>
        <w:spacing w:line="360" w:lineRule="auto"/>
        <w:ind w:firstLine="308" w:firstLineChars="147"/>
        <w:jc w:val="left"/>
        <w:rPr>
          <w:kern w:val="0"/>
          <w:szCs w:val="21"/>
        </w:rPr>
      </w:pPr>
      <w:r>
        <w:rPr>
          <w:rFonts w:hint="eastAsia"/>
          <w:kern w:val="0"/>
          <w:szCs w:val="21"/>
        </w:rPr>
        <w:t>参加MBA学习的学员将以团体协作和个性辅导相结合的方式完成核心课程及论文阶段的学习研究。除了课堂讲授，大量的案例研究和专题讲座中融入情景教学和互动学习。完成课后作业，成绩在B+以上，视为课程合格。通过论文答辩后，可获得美国管理技术大学授予的工商管理硕士学位证书。</w:t>
      </w:r>
    </w:p>
    <w:p>
      <w:pPr>
        <w:widowControl/>
        <w:spacing w:line="360" w:lineRule="auto"/>
        <w:ind w:firstLine="308" w:firstLineChars="147"/>
        <w:jc w:val="left"/>
        <w:rPr>
          <w:kern w:val="0"/>
          <w:szCs w:val="21"/>
        </w:rPr>
      </w:pPr>
      <w:r>
        <w:rPr>
          <w:rFonts w:hint="eastAsia"/>
          <w:kern w:val="0"/>
          <w:szCs w:val="21"/>
        </w:rPr>
        <w:t>参加DBA学习的学员，凡完成所有课程学习，且博士学位论文（至少5万字）评审合格，通过“博士学位论文答辩委员会”答辩，方可向美国管理技术大学申请并获得工商管理博士学位证书。</w:t>
      </w:r>
      <w:r>
        <w:rPr>
          <w:kern w:val="0"/>
          <w:szCs w:val="21"/>
        </w:rPr>
        <w:t>该学位符合美国法律国际认可，学员若出席境外毕业典礼或出国参加商务考察，费用另计(自愿参加，费用包括赴国外参加毕业典礼的签证费、食宿费及学位证书国际公证费等)。</w:t>
      </w:r>
    </w:p>
    <w:p>
      <w:pPr>
        <w:widowControl/>
        <w:spacing w:line="360" w:lineRule="auto"/>
        <w:ind w:firstLine="308" w:firstLineChars="147"/>
        <w:jc w:val="left"/>
        <w:rPr>
          <w:rFonts w:hint="eastAsia"/>
          <w:kern w:val="0"/>
          <w:szCs w:val="21"/>
        </w:rPr>
      </w:pPr>
    </w:p>
    <w:p>
      <w:pPr>
        <w:numPr>
          <w:ilvl w:val="0"/>
          <w:numId w:val="2"/>
        </w:numPr>
        <w:spacing w:line="360" w:lineRule="auto"/>
        <w:rPr>
          <w:rFonts w:hint="eastAsia"/>
          <w:kern w:val="0"/>
          <w:szCs w:val="21"/>
          <w:lang w:val="en-US" w:eastAsia="zh-CN"/>
        </w:rPr>
      </w:pPr>
      <w:r>
        <w:rPr>
          <w:rFonts w:hint="eastAsia" w:eastAsia="黑体"/>
          <w:b/>
          <w:color w:val="993300"/>
          <w:sz w:val="28"/>
        </w:rPr>
        <w:t>毕业典礼</w:t>
      </w:r>
      <w:r>
        <w:rPr>
          <w:rFonts w:eastAsia="黑体"/>
          <w:b/>
          <w:color w:val="993300"/>
          <w:sz w:val="28"/>
        </w:rPr>
        <w:t>Graduation Ceremony</w:t>
      </w:r>
    </w:p>
    <w:p>
      <w:pPr>
        <w:numPr>
          <w:ilvl w:val="0"/>
          <w:numId w:val="0"/>
        </w:numPr>
        <w:spacing w:line="360" w:lineRule="auto"/>
        <w:rPr>
          <w:rFonts w:hint="eastAsia"/>
          <w:kern w:val="0"/>
          <w:szCs w:val="21"/>
        </w:rPr>
      </w:pPr>
      <w:r>
        <w:rPr>
          <w:rFonts w:hint="eastAsia"/>
          <w:kern w:val="0"/>
          <w:szCs w:val="21"/>
          <w:lang w:val="en-US" w:eastAsia="zh-CN"/>
        </w:rPr>
        <w:t xml:space="preserve">  </w:t>
      </w:r>
      <w:r>
        <w:rPr>
          <w:rFonts w:hint="eastAsia"/>
          <w:kern w:val="0"/>
          <w:szCs w:val="21"/>
        </w:rPr>
        <w:t>每年组织学员赴美国校区参加出席隆重的毕业典礼暨学位授予仪式，由校方为学员提供赴境外邀请函，并协助办理签证申请。费用另计(自愿参加，费用包括赴国外参加毕业典礼的签证费、食宿费及学位证书国际公证费等)。</w:t>
      </w:r>
    </w:p>
    <w:p>
      <w:pPr>
        <w:spacing w:line="360" w:lineRule="auto"/>
        <w:rPr>
          <w:rFonts w:hint="eastAsia" w:eastAsia="黑体"/>
          <w:b/>
          <w:color w:val="993300"/>
          <w:sz w:val="28"/>
        </w:rPr>
      </w:pPr>
      <w:r>
        <w:rPr>
          <w:rFonts w:hint="eastAsia" w:eastAsia="黑体"/>
          <w:b/>
          <w:color w:val="993300"/>
          <w:sz w:val="28"/>
        </w:rPr>
        <w:t>九、证书认证</w:t>
      </w:r>
    </w:p>
    <w:p>
      <w:pPr>
        <w:spacing w:line="360" w:lineRule="auto"/>
        <w:rPr>
          <w:rFonts w:hint="eastAsia"/>
          <w:kern w:val="0"/>
          <w:szCs w:val="21"/>
        </w:rPr>
      </w:pPr>
      <w:r>
        <w:drawing>
          <wp:anchor distT="0" distB="0" distL="114300" distR="114300" simplePos="0" relativeHeight="251687936" behindDoc="0" locked="0" layoutInCell="1" allowOverlap="1">
            <wp:simplePos x="0" y="0"/>
            <wp:positionH relativeFrom="column">
              <wp:posOffset>-4445</wp:posOffset>
            </wp:positionH>
            <wp:positionV relativeFrom="paragraph">
              <wp:posOffset>1579245</wp:posOffset>
            </wp:positionV>
            <wp:extent cx="1746885" cy="2414905"/>
            <wp:effectExtent l="0" t="0" r="5715" b="4445"/>
            <wp:wrapTopAndBottom/>
            <wp:docPr id="30" name="图片 137" descr="UMT中国教育部2015年认证样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7" descr="UMT中国教育部2015年认证样本"/>
                    <pic:cNvPicPr>
                      <a:picLocks noChangeAspect="1"/>
                    </pic:cNvPicPr>
                  </pic:nvPicPr>
                  <pic:blipFill>
                    <a:blip r:embed="rId22"/>
                    <a:stretch>
                      <a:fillRect/>
                    </a:stretch>
                  </pic:blipFill>
                  <pic:spPr>
                    <a:xfrm>
                      <a:off x="0" y="0"/>
                      <a:ext cx="1746885" cy="2414905"/>
                    </a:xfrm>
                    <a:prstGeom prst="rect">
                      <a:avLst/>
                    </a:prstGeom>
                    <a:noFill/>
                    <a:ln w="9525">
                      <a:noFill/>
                    </a:ln>
                  </pic:spPr>
                </pic:pic>
              </a:graphicData>
            </a:graphic>
          </wp:anchor>
        </w:drawing>
      </w:r>
      <w:r>
        <w:drawing>
          <wp:anchor distT="0" distB="0" distL="114300" distR="114300" simplePos="0" relativeHeight="251684864" behindDoc="0" locked="0" layoutInCell="1" allowOverlap="1">
            <wp:simplePos x="0" y="0"/>
            <wp:positionH relativeFrom="column">
              <wp:posOffset>4349115</wp:posOffset>
            </wp:positionH>
            <wp:positionV relativeFrom="paragraph">
              <wp:posOffset>1475740</wp:posOffset>
            </wp:positionV>
            <wp:extent cx="1716405" cy="2456815"/>
            <wp:effectExtent l="0" t="0" r="17145" b="635"/>
            <wp:wrapNone/>
            <wp:docPr id="27" name="图片 130" descr="赵芳菲认证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0" descr="赵芳菲认证_副本"/>
                    <pic:cNvPicPr>
                      <a:picLocks noChangeAspect="1"/>
                    </pic:cNvPicPr>
                  </pic:nvPicPr>
                  <pic:blipFill>
                    <a:blip r:embed="rId23"/>
                    <a:stretch>
                      <a:fillRect/>
                    </a:stretch>
                  </pic:blipFill>
                  <pic:spPr>
                    <a:xfrm>
                      <a:off x="0" y="0"/>
                      <a:ext cx="1716405" cy="2456815"/>
                    </a:xfrm>
                    <a:prstGeom prst="rect">
                      <a:avLst/>
                    </a:prstGeom>
                    <a:noFill/>
                    <a:ln w="9525">
                      <a:noFill/>
                    </a:ln>
                  </pic:spPr>
                </pic:pic>
              </a:graphicData>
            </a:graphic>
          </wp:anchor>
        </w:drawing>
      </w:r>
      <w:r>
        <w:drawing>
          <wp:anchor distT="0" distB="0" distL="114300" distR="114300" simplePos="0" relativeHeight="251686912" behindDoc="0" locked="0" layoutInCell="1" allowOverlap="1">
            <wp:simplePos x="0" y="0"/>
            <wp:positionH relativeFrom="column">
              <wp:posOffset>2180590</wp:posOffset>
            </wp:positionH>
            <wp:positionV relativeFrom="paragraph">
              <wp:posOffset>1565275</wp:posOffset>
            </wp:positionV>
            <wp:extent cx="1704975" cy="2428875"/>
            <wp:effectExtent l="0" t="0" r="9525" b="9525"/>
            <wp:wrapTopAndBottom/>
            <wp:docPr id="29" name="图片 136" descr="2015年留学服务中心回国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6" descr="2015年留学服务中心回国证明"/>
                    <pic:cNvPicPr>
                      <a:picLocks noChangeAspect="1"/>
                    </pic:cNvPicPr>
                  </pic:nvPicPr>
                  <pic:blipFill>
                    <a:blip r:embed="rId24"/>
                    <a:stretch>
                      <a:fillRect/>
                    </a:stretch>
                  </pic:blipFill>
                  <pic:spPr>
                    <a:xfrm>
                      <a:off x="0" y="0"/>
                      <a:ext cx="1704975" cy="2428875"/>
                    </a:xfrm>
                    <a:prstGeom prst="rect">
                      <a:avLst/>
                    </a:prstGeom>
                    <a:noFill/>
                    <a:ln w="9525">
                      <a:noFill/>
                    </a:ln>
                  </pic:spPr>
                </pic:pic>
              </a:graphicData>
            </a:graphic>
          </wp:anchor>
        </w:drawing>
      </w:r>
      <w:r>
        <w:rPr>
          <w:rFonts w:hint="eastAsia" w:eastAsia="黑体"/>
          <w:b/>
          <w:color w:val="993300"/>
          <w:sz w:val="28"/>
        </w:rPr>
        <w:t xml:space="preserve">   </w:t>
      </w:r>
      <w:r>
        <w:rPr>
          <w:rFonts w:hint="eastAsia"/>
          <w:kern w:val="0"/>
          <w:szCs w:val="21"/>
        </w:rPr>
        <w:t>参加清华UMT学习后获得硕、博学位证书可在教育部做认证（须有1年以上美国出入境记录），并可在上海现代人才评估鉴定中心认证，该中心作为独立的第三方接受政府主管部门授权，实施“人才评估、项目评估、行业评估、证书鉴定”等职能。证书鉴定的用途，是本人专业岗位职业能力（资格）和水平的凭证之一，同时也是企事业单位持证人员考核晋升，以及评聘专业技术人员职称的依据之一。并且可以将本鉴定证书和该学员学习成绩单一并放入本人的人事档案。</w:t>
      </w:r>
    </w:p>
    <w:p>
      <w:pPr>
        <w:pStyle w:val="15"/>
        <w:spacing w:line="360" w:lineRule="auto"/>
        <w:rPr>
          <w:b/>
          <w:color w:val="C00000"/>
        </w:rPr>
      </w:pPr>
      <w:r>
        <w:rPr>
          <w:b/>
          <w:color w:val="C00000"/>
          <w:sz w:val="28"/>
        </w:rPr>
        <w:t>联络方式</w:t>
      </w:r>
      <w:r>
        <w:rPr>
          <w:rFonts w:hint="eastAsia"/>
          <w:b/>
          <w:color w:val="C00000"/>
          <w:sz w:val="28"/>
        </w:rPr>
        <w:t xml:space="preserve"> </w:t>
      </w:r>
      <w:r>
        <w:rPr>
          <w:b/>
          <w:color w:val="C00000"/>
        </w:rPr>
        <w:tab/>
      </w:r>
    </w:p>
    <w:p>
      <w:pPr>
        <w:pStyle w:val="15"/>
        <w:spacing w:line="360" w:lineRule="auto"/>
        <w:rPr>
          <w:color w:val="000000"/>
          <w:kern w:val="0"/>
          <w:szCs w:val="21"/>
        </w:rPr>
      </w:pPr>
      <w:r>
        <w:rPr>
          <w:color w:val="000000"/>
          <w:kern w:val="0"/>
          <w:szCs w:val="21"/>
        </w:rPr>
        <w:t>美国管理技术大学（UMT）</w:t>
      </w:r>
      <w:r>
        <w:rPr>
          <w:rFonts w:hint="eastAsia"/>
          <w:color w:val="000000"/>
          <w:kern w:val="0"/>
          <w:szCs w:val="21"/>
        </w:rPr>
        <w:t xml:space="preserve">清华教学管理中心               </w:t>
      </w:r>
      <w:r>
        <w:rPr>
          <w:rFonts w:hint="eastAsia"/>
          <w:color w:val="000000"/>
        </w:rPr>
        <w:t xml:space="preserve">联系人： </w:t>
      </w:r>
      <w:r>
        <w:rPr>
          <w:rFonts w:hint="eastAsia"/>
          <w:color w:val="000000"/>
          <w:lang w:eastAsia="zh-CN"/>
        </w:rPr>
        <w:t>韩</w:t>
      </w:r>
      <w:r>
        <w:rPr>
          <w:rFonts w:hint="eastAsia"/>
          <w:color w:val="000000"/>
        </w:rPr>
        <w:t>老师</w:t>
      </w:r>
    </w:p>
    <w:p>
      <w:pPr>
        <w:pStyle w:val="15"/>
        <w:spacing w:line="360" w:lineRule="auto"/>
        <w:rPr>
          <w:rFonts w:hint="eastAsia"/>
          <w:color w:val="000000"/>
        </w:rPr>
      </w:pPr>
      <w:r>
        <w:rPr>
          <w:color w:val="000000"/>
        </w:rPr>
        <w:t>电</w:t>
      </w:r>
      <w:r>
        <w:rPr>
          <w:rFonts w:hint="eastAsia"/>
          <w:color w:val="000000"/>
        </w:rPr>
        <w:t xml:space="preserve">  </w:t>
      </w:r>
      <w:r>
        <w:rPr>
          <w:color w:val="000000"/>
        </w:rPr>
        <w:t>话：</w:t>
      </w:r>
      <w:r>
        <w:rPr>
          <w:rFonts w:hint="eastAsia"/>
          <w:color w:val="000000"/>
        </w:rPr>
        <w:t xml:space="preserve"> </w:t>
      </w:r>
      <w:r>
        <w:rPr>
          <w:rFonts w:hint="eastAsia"/>
          <w:color w:val="FF0000"/>
          <w:sz w:val="28"/>
          <w:szCs w:val="28"/>
          <w:lang w:val="en-US" w:eastAsia="zh-CN"/>
        </w:rPr>
        <w:t>13521118358</w:t>
      </w:r>
      <w:r>
        <w:rPr>
          <w:rFonts w:hint="eastAsia"/>
          <w:color w:val="FF0000"/>
          <w:sz w:val="28"/>
          <w:szCs w:val="28"/>
        </w:rPr>
        <w:t xml:space="preserve">               </w:t>
      </w:r>
      <w:r>
        <w:rPr>
          <w:rFonts w:hint="eastAsia"/>
          <w:color w:val="000000"/>
        </w:rPr>
        <w:t xml:space="preserve">         </w:t>
      </w:r>
      <w:r>
        <w:rPr>
          <w:rFonts w:hint="eastAsia"/>
          <w:color w:val="000000"/>
          <w:lang w:val="en-US" w:eastAsia="zh-CN"/>
        </w:rPr>
        <w:t xml:space="preserve"> </w:t>
      </w:r>
      <w:r>
        <w:rPr>
          <w:rFonts w:hint="eastAsia"/>
          <w:color w:val="000000"/>
        </w:rPr>
        <w:t xml:space="preserve"> </w:t>
      </w:r>
      <w:r>
        <w:rPr>
          <w:rFonts w:hint="eastAsia"/>
          <w:color w:val="000000"/>
          <w:lang w:val="en-US" w:eastAsia="zh-CN"/>
        </w:rPr>
        <w:t xml:space="preserve"> </w:t>
      </w:r>
      <w:r>
        <w:rPr>
          <w:color w:val="000000"/>
        </w:rPr>
        <w:t>地</w:t>
      </w:r>
      <w:r>
        <w:rPr>
          <w:rFonts w:hint="eastAsia"/>
          <w:color w:val="000000"/>
        </w:rPr>
        <w:t xml:space="preserve">  </w:t>
      </w:r>
      <w:r>
        <w:rPr>
          <w:color w:val="000000"/>
        </w:rPr>
        <w:t>址：</w:t>
      </w:r>
      <w:r>
        <w:rPr>
          <w:rFonts w:hint="eastAsia" w:hAnsi="宋体"/>
          <w:bCs/>
          <w:color w:val="000000"/>
          <w:kern w:val="0"/>
          <w:szCs w:val="21"/>
        </w:rPr>
        <w:t>清华大学</w:t>
      </w:r>
    </w:p>
    <w:p>
      <w:pPr>
        <w:pStyle w:val="15"/>
        <w:spacing w:line="360" w:lineRule="auto"/>
        <w:rPr>
          <w:rFonts w:hAnsi="宋体"/>
          <w:bCs/>
          <w:color w:val="000000"/>
          <w:kern w:val="0"/>
          <w:sz w:val="24"/>
        </w:rPr>
      </w:pPr>
      <w:r>
        <w:rPr>
          <w:rFonts w:hint="eastAsia" w:hAnsi="宋体"/>
          <w:bCs/>
          <w:color w:val="000000"/>
          <w:kern w:val="0"/>
          <w:szCs w:val="21"/>
        </w:rPr>
        <w:t>邮  箱：</w:t>
      </w:r>
      <w:r>
        <w:rPr>
          <w:rFonts w:hAnsi="宋体"/>
          <w:bCs/>
          <w:color w:val="000000"/>
          <w:kern w:val="0"/>
          <w:szCs w:val="21"/>
        </w:rPr>
        <w:fldChar w:fldCharType="begin"/>
      </w:r>
      <w:r>
        <w:rPr>
          <w:rFonts w:hAnsi="宋体"/>
          <w:bCs/>
          <w:color w:val="000000"/>
          <w:kern w:val="0"/>
          <w:szCs w:val="21"/>
        </w:rPr>
        <w:instrText xml:space="preserve"> HYPERLINK "mailto:</w:instrText>
      </w:r>
      <w:r>
        <w:rPr>
          <w:rFonts w:hint="eastAsia" w:hAnsi="宋体"/>
          <w:bCs/>
          <w:color w:val="000000"/>
          <w:kern w:val="0"/>
          <w:szCs w:val="21"/>
        </w:rPr>
        <w:instrText xml:space="preserve">kunpeng1207@163.com</w:instrText>
      </w:r>
      <w:r>
        <w:rPr>
          <w:rFonts w:hAnsi="宋体"/>
          <w:bCs/>
          <w:color w:val="000000"/>
          <w:kern w:val="0"/>
          <w:szCs w:val="21"/>
        </w:rPr>
        <w:instrText xml:space="preserve">" </w:instrText>
      </w:r>
      <w:r>
        <w:rPr>
          <w:rFonts w:hAnsi="宋体"/>
          <w:bCs/>
          <w:color w:val="000000"/>
          <w:kern w:val="0"/>
          <w:szCs w:val="21"/>
        </w:rPr>
        <w:fldChar w:fldCharType="separate"/>
      </w:r>
      <w:r>
        <w:rPr>
          <w:rStyle w:val="12"/>
          <w:rFonts w:hint="eastAsia" w:hAnsi="宋体"/>
          <w:bCs/>
          <w:kern w:val="0"/>
          <w:szCs w:val="21"/>
          <w:lang w:val="en-US" w:eastAsia="zh-CN"/>
        </w:rPr>
        <w:t>qinghuadaxueyx</w:t>
      </w:r>
      <w:r>
        <w:rPr>
          <w:rStyle w:val="12"/>
          <w:rFonts w:hint="eastAsia" w:hAnsi="宋体"/>
          <w:bCs/>
          <w:kern w:val="0"/>
          <w:szCs w:val="21"/>
        </w:rPr>
        <w:t>@163.com</w:t>
      </w:r>
      <w:r>
        <w:rPr>
          <w:rFonts w:hAnsi="宋体"/>
          <w:bCs/>
          <w:color w:val="000000"/>
          <w:kern w:val="0"/>
          <w:szCs w:val="21"/>
        </w:rPr>
        <w:fldChar w:fldCharType="end"/>
      </w:r>
      <w:r>
        <w:rPr>
          <w:rFonts w:hint="eastAsia" w:hAnsi="宋体"/>
          <w:bCs/>
          <w:color w:val="000000"/>
          <w:kern w:val="0"/>
          <w:szCs w:val="21"/>
        </w:rPr>
        <w:t xml:space="preserve">                          网  址：</w:t>
      </w:r>
      <w:r>
        <w:rPr>
          <w:rFonts w:hint="eastAsia" w:hAnsi="宋体"/>
          <w:bCs/>
          <w:color w:val="000000"/>
          <w:kern w:val="0"/>
          <w:sz w:val="24"/>
        </w:rPr>
        <w:t>www.</w:t>
      </w:r>
      <w:r>
        <w:rPr>
          <w:rFonts w:hint="eastAsia" w:hAnsi="宋体"/>
          <w:bCs/>
          <w:color w:val="000000"/>
          <w:kern w:val="0"/>
          <w:sz w:val="24"/>
          <w:lang w:val="en-US" w:eastAsia="zh-CN"/>
        </w:rPr>
        <w:t>tsinghuayxb</w:t>
      </w:r>
      <w:r>
        <w:rPr>
          <w:rFonts w:hint="eastAsia" w:hAnsi="宋体"/>
          <w:bCs/>
          <w:color w:val="000000"/>
          <w:kern w:val="0"/>
          <w:sz w:val="24"/>
        </w:rPr>
        <w:t>.org</w:t>
      </w:r>
    </w:p>
    <w:p>
      <w:pPr>
        <w:spacing w:line="360" w:lineRule="auto"/>
        <w:rPr>
          <w:rFonts w:ascii="华文中宋" w:hAnsi="华文中宋" w:eastAsia="华文中宋"/>
          <w:b/>
          <w:color w:val="993300"/>
          <w:sz w:val="44"/>
        </w:rPr>
      </w:pPr>
      <w:r>
        <w:rPr>
          <w:rFonts w:hint="eastAsia" w:ascii="华文中宋" w:hAnsi="华文中宋" w:eastAsia="华文中宋"/>
          <w:b/>
          <w:color w:val="800000"/>
          <w:sz w:val="32"/>
        </w:rPr>
        <w:t>MBA/DBA学员风采</w:t>
      </w:r>
    </w:p>
    <w:p>
      <w:pPr>
        <w:rPr>
          <w:b/>
          <w:color w:val="1F497D"/>
        </w:rPr>
      </w:pPr>
      <w:r>
        <w:rPr>
          <w:rFonts w:hint="eastAsia"/>
          <w:b/>
          <w:color w:val="1F497D"/>
        </w:rPr>
        <w:t>东莞市雷洋电子科技有限公司</w:t>
      </w:r>
      <w:r>
        <w:rPr>
          <w:b/>
          <w:color w:val="1F497D"/>
        </w:rPr>
        <w:t xml:space="preserve"> </w:t>
      </w:r>
      <w:r>
        <w:rPr>
          <w:rFonts w:hint="eastAsia"/>
          <w:b/>
          <w:color w:val="1F497D"/>
        </w:rPr>
        <w:t xml:space="preserve">  杜元源            </w:t>
      </w:r>
      <w:r>
        <w:rPr>
          <w:b/>
          <w:color w:val="1F497D"/>
        </w:rPr>
        <w:t>神华集团有限责任公司</w:t>
      </w:r>
      <w:r>
        <w:rPr>
          <w:rFonts w:hint="eastAsia"/>
          <w:b/>
          <w:color w:val="1F497D"/>
        </w:rPr>
        <w:t xml:space="preserve">      郑鑫</w:t>
      </w:r>
    </w:p>
    <w:p>
      <w:pPr>
        <w:rPr>
          <w:b/>
          <w:color w:val="1F497D"/>
        </w:rPr>
      </w:pPr>
      <w:r>
        <w:rPr>
          <w:rFonts w:hint="eastAsia"/>
          <w:b/>
          <w:color w:val="1F497D"/>
        </w:rPr>
        <w:t>UMT中国区校友会会长</w:t>
      </w:r>
      <w:r>
        <w:rPr>
          <w:b/>
          <w:color w:val="1F497D"/>
        </w:rPr>
        <w:t xml:space="preserve">          </w:t>
      </w:r>
      <w:r>
        <w:rPr>
          <w:rFonts w:hint="eastAsia"/>
          <w:b/>
          <w:color w:val="1F497D"/>
        </w:rPr>
        <w:t xml:space="preserve">                       </w:t>
      </w:r>
    </w:p>
    <w:p>
      <w:r>
        <mc:AlternateContent>
          <mc:Choice Requires="wps">
            <w:drawing>
              <wp:anchor distT="0" distB="0" distL="114300" distR="114300" simplePos="0" relativeHeight="251661312" behindDoc="0" locked="0" layoutInCell="1" allowOverlap="1">
                <wp:simplePos x="0" y="0"/>
                <wp:positionH relativeFrom="column">
                  <wp:posOffset>4349115</wp:posOffset>
                </wp:positionH>
                <wp:positionV relativeFrom="paragraph">
                  <wp:posOffset>99060</wp:posOffset>
                </wp:positionV>
                <wp:extent cx="1410335" cy="1070610"/>
                <wp:effectExtent l="0" t="0" r="0" b="0"/>
                <wp:wrapNone/>
                <wp:docPr id="4" name="文本框 52"/>
                <wp:cNvGraphicFramePr/>
                <a:graphic xmlns:a="http://schemas.openxmlformats.org/drawingml/2006/main">
                  <a:graphicData uri="http://schemas.microsoft.com/office/word/2010/wordprocessingShape">
                    <wps:wsp>
                      <wps:cNvSpPr txBox="1"/>
                      <wps:spPr>
                        <a:xfrm>
                          <a:off x="0" y="0"/>
                          <a:ext cx="1410335" cy="1070610"/>
                        </a:xfrm>
                        <a:prstGeom prst="rect">
                          <a:avLst/>
                        </a:prstGeom>
                        <a:noFill/>
                        <a:ln w="9525">
                          <a:noFill/>
                        </a:ln>
                      </wps:spPr>
                      <wps:txbx>
                        <w:txbxContent>
                          <w:p>
                            <w:pPr>
                              <w:rPr>
                                <w:sz w:val="20"/>
                              </w:rPr>
                            </w:pPr>
                            <w:r>
                              <w:rPr>
                                <w:rFonts w:hint="eastAsia"/>
                                <w:sz w:val="20"/>
                              </w:rPr>
                              <w:t>学习的境界在两种：一为渐修，二为顿悟。在此，我感受到了融会贯通的启迪。</w:t>
                            </w:r>
                          </w:p>
                        </w:txbxContent>
                      </wps:txbx>
                      <wps:bodyPr wrap="square" upright="1"/>
                    </wps:wsp>
                  </a:graphicData>
                </a:graphic>
              </wp:anchor>
            </w:drawing>
          </mc:Choice>
          <mc:Fallback>
            <w:pict>
              <v:shape id="文本框 52" o:spid="_x0000_s1026" o:spt="202" type="#_x0000_t202" style="position:absolute;left:0pt;margin-left:342.45pt;margin-top:7.8pt;height:84.3pt;width:111.05pt;z-index:251661312;mso-width-relative:page;mso-height-relative:page;" filled="f" stroked="f" coordsize="21600,21600" o:gfxdata="UEsDBAoAAAAAAIdO4kAAAAAAAAAAAAAAAAAEAAAAZHJzL1BLAwQUAAAACACHTuJAr2rGAtcAAAAK&#10;AQAADwAAAGRycy9kb3ducmV2LnhtbE2PzU7DMBCE70h9B2srcaN2qzQkIU4PIK5FlB+Jmxtvk4h4&#10;HcVuk749ywmOO/Npdqbcza4XFxxD50nDeqVAINXedtRoeH97vstAhGjImt4TarhigF21uClNYf1E&#10;r3g5xEZwCIXCaGhjHAopQ92iM2HlByT2Tn50JvI5NtKOZuJw18uNUql0piP+0JoBH1usvw9np+Fj&#10;f/r6TNRL8+S2w+RnJcnlUuvb5Vo9gIg4xz8Yfutzdai409GfyQbRa0izJGeUjW0KgoFc3fO4IwtZ&#10;sgFZlfL/hOoHUEsDBBQAAAAIAIdO4kAijjgBpgEAABkDAAAOAAAAZHJzL2Uyb0RvYy54bWytUsFu&#10;GyEQvUfqPyDu9e46cdKujCNFUXKpmkhpPwCz4EUChgD2rn+g/YOceuk93+XvyIAdp2pvVS4DzMyb&#10;mfeG+eVoDdnIEDU4RptJTYl0AjrtVox+/3bz8RMlMXHXcQNOMrqVkV4uPpzMB9/KKfRgOhkIFnGx&#10;HTyjfUq+raooeml5nICXDoMKguUJn2FVdYEPWN2aalrX59UAofMBhIwRvdf7IF2U+kpJke6UijIR&#10;wyjOlooNxS6zrRZz3q4C970WhzH4f0xhuXbY9FjqmidO1kH/U8pqESCCShMBtgKltJCFA7Jp6r/Y&#10;PPTcy8IFxYn+KFN8v7Li6+Y+EN0xekaJ4xZXtHv6ufv1vPv9g8ymWZ/BxxbTHjwmpvEKRtzzqz+i&#10;M9MeVbD5REIE46j09qiuHBMRGXTW1KenM0oExpr6oj5viv7VG9yHmG4lWJIvjAZcX1GVb77EhKNg&#10;6mtK7ubgRhtTVmgcGRj9PJvOCuAYQYRxCMwk9sPmWxqX44HZErotEhvwCzAaH9c8SErWPuhVjxMU&#10;ogWM+pf+h7+SF/znu7R4+9GL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K9qxgLXAAAACgEAAA8A&#10;AAAAAAAAAQAgAAAAIgAAAGRycy9kb3ducmV2LnhtbFBLAQIUABQAAAAIAIdO4kAijjgBpgEAABkD&#10;AAAOAAAAAAAAAAEAIAAAACYBAABkcnMvZTJvRG9jLnhtbFBLBQYAAAAABgAGAFkBAAA+BQAAAAA=&#10;">
                <v:fill on="f" focussize="0,0"/>
                <v:stroke on="f"/>
                <v:imagedata o:title=""/>
                <o:lock v:ext="edit" aspectratio="f"/>
                <v:textbox>
                  <w:txbxContent>
                    <w:p>
                      <w:pPr>
                        <w:rPr>
                          <w:sz w:val="20"/>
                        </w:rPr>
                      </w:pPr>
                      <w:r>
                        <w:rPr>
                          <w:rFonts w:hint="eastAsia"/>
                          <w:sz w:val="20"/>
                        </w:rPr>
                        <w:t>学习的境界在两种：一为渐修，二为顿悟。在此，我感受到了融会贯通的启迪。</w:t>
                      </w:r>
                    </w:p>
                  </w:txbxContent>
                </v:textbox>
              </v:shape>
            </w:pict>
          </mc:Fallback>
        </mc:AlternateContent>
      </w:r>
      <w:r>
        <w:drawing>
          <wp:anchor distT="12065" distB="19050" distL="120015" distR="117475" simplePos="0" relativeHeight="251681792" behindDoc="0" locked="0" layoutInCell="1" allowOverlap="1">
            <wp:simplePos x="0" y="0"/>
            <wp:positionH relativeFrom="column">
              <wp:posOffset>3181350</wp:posOffset>
            </wp:positionH>
            <wp:positionV relativeFrom="paragraph">
              <wp:posOffset>89535</wp:posOffset>
            </wp:positionV>
            <wp:extent cx="1076325" cy="1238250"/>
            <wp:effectExtent l="0" t="0" r="9525" b="0"/>
            <wp:wrapSquare wrapText="bothSides"/>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pic:cNvPicPr>
                      <a:picLocks noChangeAspect="1" noChangeArrowheads="1"/>
                    </pic:cNvPicPr>
                  </pic:nvPicPr>
                  <pic:blipFill>
                    <a:blip r:embed="rId25" cstate="print"/>
                    <a:srcRect/>
                    <a:stretch>
                      <a:fillRect/>
                    </a:stretch>
                  </pic:blipFill>
                  <pic:spPr>
                    <a:xfrm>
                      <a:off x="0" y="0"/>
                      <a:ext cx="1076325" cy="1238250"/>
                    </a:xfrm>
                    <a:prstGeom prst="ellipse">
                      <a:avLst/>
                    </a:prstGeom>
                    <a:noFill/>
                    <a:ln>
                      <a:noFill/>
                    </a:ln>
                    <a:effectLst>
                      <a:softEdge rad="112500"/>
                    </a:effectLst>
                  </pic:spPr>
                </pic:pic>
              </a:graphicData>
            </a:graphic>
          </wp:anchor>
        </w:drawing>
      </w:r>
      <w:r>
        <mc:AlternateContent>
          <mc:Choice Requires="wps">
            <w:drawing>
              <wp:anchor distT="0" distB="0" distL="114300" distR="114300" simplePos="0" relativeHeight="251672576" behindDoc="0" locked="0" layoutInCell="1" allowOverlap="1">
                <wp:simplePos x="0" y="0"/>
                <wp:positionH relativeFrom="column">
                  <wp:posOffset>1191260</wp:posOffset>
                </wp:positionH>
                <wp:positionV relativeFrom="paragraph">
                  <wp:posOffset>50165</wp:posOffset>
                </wp:positionV>
                <wp:extent cx="1841500" cy="1468120"/>
                <wp:effectExtent l="0" t="0" r="0" b="0"/>
                <wp:wrapNone/>
                <wp:docPr id="15" name="文本框 88"/>
                <wp:cNvGraphicFramePr/>
                <a:graphic xmlns:a="http://schemas.openxmlformats.org/drawingml/2006/main">
                  <a:graphicData uri="http://schemas.microsoft.com/office/word/2010/wordprocessingShape">
                    <wps:wsp>
                      <wps:cNvSpPr txBox="1"/>
                      <wps:spPr>
                        <a:xfrm>
                          <a:off x="0" y="0"/>
                          <a:ext cx="1841500" cy="1468120"/>
                        </a:xfrm>
                        <a:prstGeom prst="rect">
                          <a:avLst/>
                        </a:prstGeom>
                        <a:noFill/>
                        <a:ln w="9525">
                          <a:noFill/>
                        </a:ln>
                      </wps:spPr>
                      <wps:txbx>
                        <w:txbxContent>
                          <w:p>
                            <w:pPr>
                              <w:pStyle w:val="15"/>
                              <w:rPr>
                                <w:sz w:val="18"/>
                                <w:szCs w:val="18"/>
                              </w:rPr>
                            </w:pPr>
                            <w:r>
                              <w:rPr>
                                <w:rFonts w:hint="eastAsia"/>
                                <w:sz w:val="18"/>
                                <w:szCs w:val="18"/>
                              </w:rPr>
                              <w:t>通过学习既可以聆听到资深级教授的精彩授课，国际级专家的智慧传承，还可以与来自五湖四海的各行业精英同学深入切磋，广泛交流，这无疑成为推动我的事业不断发展，修养不断提高，视野不断开阔的动力源泉。</w:t>
                            </w:r>
                          </w:p>
                        </w:txbxContent>
                      </wps:txbx>
                      <wps:bodyPr wrap="square" upright="1"/>
                    </wps:wsp>
                  </a:graphicData>
                </a:graphic>
              </wp:anchor>
            </w:drawing>
          </mc:Choice>
          <mc:Fallback>
            <w:pict>
              <v:shape id="文本框 88" o:spid="_x0000_s1026" o:spt="202" type="#_x0000_t202" style="position:absolute;left:0pt;margin-left:93.8pt;margin-top:3.95pt;height:115.6pt;width:145pt;z-index:251672576;mso-width-relative:page;mso-height-relative:page;" filled="f" stroked="f" coordsize="21600,21600" o:gfxdata="UEsDBAoAAAAAAIdO4kAAAAAAAAAAAAAAAAAEAAAAZHJzL1BLAwQUAAAACACHTuJADQkyOdYAAAAJ&#10;AQAADwAAAGRycy9kb3ducmV2LnhtbE2Py07DMBBF90j9B2sqsaN2SmmaEKeLVmxBlIfEzo2nSUQ8&#10;jmK3CX/PdAXLo3t150yxnVwnLjiE1pOGZKFAIFXetlRreH97utuACNGQNZ0n1PCDAbbl7KYwufUj&#10;veLlEGvBIxRyo6GJsc+lDFWDzoSF75E4O/nBmcg41NIOZuRx18mlUmvpTEt8oTE97hqsvg9np+Hj&#10;+fT1uVIv9d499KOflCSXSa1v54l6BBFxin9luOqzOpTsdPRnskF0zJt0zVUNaQaC81V65aOG5X2W&#10;gCwL+f+D8hdQSwMEFAAAAAgAh07iQEYEH7ilAQAAGgMAAA4AAABkcnMvZTJvRG9jLnhtbK1SzY4T&#10;MQy+I/EOUe50Zqrtahh1uhJaLRcESAsPkGaSTqT8Yaed6QvAG3Diwp3n6nPgZLvdFdwQFyex/dn+&#10;/GV9MzvLDgrQBN/zZlFzprwMg/G7nn/+dPeq5QyT8IOwwaueHxXym83LF+spdmoZxmAHBYyKeOym&#10;2PMxpdhVFcpROYGLEJWnoA7gRKIn7KoBxETVna2WdX1dTQGGCEEqRPLePgT5ptTXWsn0QWtUidme&#10;02ypWCh2m221WYtuByKORp7HEP8whRPGU9NLqVuRBNuD+auUMxICBp0WMrgqaG2kKhyITVP/weZ+&#10;FFEVLrQcjJc14f8rK98fPgIzA2m34swLRxqdvn87/fh1+vmVtW1e0BSxo7z7SJlpfhNmSn70Izkz&#10;71mDyycxYhSnVR8v61VzYjKD2qtmVVNIUqy5um6bZRGgeoJHwPRWBcfypedA+pW1isM7TDQKpT6m&#10;5G4+3Blri4bWs6nnr1fLVQFcIoSwnoCZxMOw+Zbm7Xxmtg3DkYhN9Ad6jl/2AhRn+whmN9IEhWgB&#10;kwCl//mzZIWfv0uLpy+9+Q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NCTI51gAAAAkBAAAPAAAA&#10;AAAAAAEAIAAAACIAAABkcnMvZG93bnJldi54bWxQSwECFAAUAAAACACHTuJARgQfuKUBAAAaAwAA&#10;DgAAAAAAAAABACAAAAAlAQAAZHJzL2Uyb0RvYy54bWxQSwUGAAAAAAYABgBZAQAAPAUAAAAA&#10;">
                <v:fill on="f" focussize="0,0"/>
                <v:stroke on="f"/>
                <v:imagedata o:title=""/>
                <o:lock v:ext="edit" aspectratio="f"/>
                <v:textbox>
                  <w:txbxContent>
                    <w:p>
                      <w:pPr>
                        <w:pStyle w:val="15"/>
                        <w:rPr>
                          <w:sz w:val="18"/>
                          <w:szCs w:val="18"/>
                        </w:rPr>
                      </w:pPr>
                      <w:r>
                        <w:rPr>
                          <w:rFonts w:hint="eastAsia"/>
                          <w:sz w:val="18"/>
                          <w:szCs w:val="18"/>
                        </w:rPr>
                        <w:t>通过学习既可以聆听到资深级教授的精彩授课，国际级专家的智慧传承，还可以与来自五湖四海的各行业精英同学深入切磋，广泛交流，这无疑成为推动我的事业不断发展，修养不断提高，视野不断开阔的动力源泉。</w:t>
                      </w:r>
                    </w:p>
                  </w:txbxContent>
                </v:textbox>
              </v:shape>
            </w:pict>
          </mc:Fallback>
        </mc:AlternateContent>
      </w:r>
      <w:r>
        <w:rPr>
          <w:b/>
          <w:color w:val="993300"/>
          <w:kern w:val="0"/>
          <w:szCs w:val="21"/>
        </w:rPr>
        <w:drawing>
          <wp:anchor distT="12065" distB="15240" distL="120015" distR="122555" simplePos="0" relativeHeight="251673600" behindDoc="1" locked="0" layoutInCell="1" allowOverlap="1">
            <wp:simplePos x="0" y="0"/>
            <wp:positionH relativeFrom="column">
              <wp:posOffset>-10795</wp:posOffset>
            </wp:positionH>
            <wp:positionV relativeFrom="paragraph">
              <wp:posOffset>168910</wp:posOffset>
            </wp:positionV>
            <wp:extent cx="1075055" cy="1179195"/>
            <wp:effectExtent l="0" t="0" r="10795" b="1905"/>
            <wp:wrapTight wrapText="bothSides">
              <wp:wrapPolygon>
                <wp:start x="7657" y="345"/>
                <wp:lineTo x="4980" y="1393"/>
                <wp:lineTo x="763" y="4882"/>
                <wp:lineTo x="-388" y="12205"/>
                <wp:lineTo x="1914" y="18135"/>
                <wp:lineTo x="7657" y="21279"/>
                <wp:lineTo x="9183" y="21279"/>
                <wp:lineTo x="11486" y="21279"/>
                <wp:lineTo x="13400" y="21279"/>
                <wp:lineTo x="19143" y="18135"/>
                <wp:lineTo x="19518" y="17087"/>
                <wp:lineTo x="21432" y="12205"/>
                <wp:lineTo x="21432" y="10812"/>
                <wp:lineTo x="21057" y="8371"/>
                <wp:lineTo x="20669" y="4882"/>
                <wp:lineTo x="15314" y="1048"/>
                <wp:lineTo x="13012" y="345"/>
                <wp:lineTo x="7657" y="345"/>
              </wp:wrapPolygon>
            </wp:wrapTight>
            <wp:docPr id="16" name="Picture 92" descr="IMG_8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2" descr="IMG_8132"/>
                    <pic:cNvPicPr>
                      <a:picLocks noChangeAspect="1" noChangeArrowheads="1"/>
                    </pic:cNvPicPr>
                  </pic:nvPicPr>
                  <pic:blipFill>
                    <a:blip r:embed="rId26" cstate="print"/>
                    <a:srcRect l="47424" t="23619" b="3578"/>
                    <a:stretch>
                      <a:fillRect/>
                    </a:stretch>
                  </pic:blipFill>
                  <pic:spPr>
                    <a:xfrm>
                      <a:off x="0" y="0"/>
                      <a:ext cx="1075055" cy="1179830"/>
                    </a:xfrm>
                    <a:prstGeom prst="ellipse">
                      <a:avLst/>
                    </a:prstGeom>
                    <a:noFill/>
                    <a:ln>
                      <a:noFill/>
                    </a:ln>
                    <a:effectLst>
                      <a:softEdge rad="112500"/>
                    </a:effectLst>
                  </pic:spPr>
                </pic:pic>
              </a:graphicData>
            </a:graphic>
          </wp:anchor>
        </w:drawing>
      </w:r>
    </w:p>
    <w:p/>
    <w:p/>
    <w:p/>
    <w:p/>
    <w:p>
      <w:pPr>
        <w:rPr>
          <w:b/>
          <w:color w:val="1F497D"/>
        </w:rPr>
      </w:pPr>
    </w:p>
    <w:p>
      <w:pPr>
        <w:jc w:val="left"/>
        <w:rPr>
          <w:b/>
          <w:color w:val="1F497D"/>
        </w:rPr>
      </w:pPr>
    </w:p>
    <w:p>
      <w:pPr>
        <w:jc w:val="left"/>
        <w:rPr>
          <w:rFonts w:hint="eastAsia"/>
          <w:b/>
          <w:color w:val="1F497D"/>
        </w:rPr>
      </w:pPr>
    </w:p>
    <w:p>
      <w:pPr>
        <w:jc w:val="left"/>
        <w:rPr>
          <w:rFonts w:hint="eastAsia"/>
          <w:b/>
          <w:color w:val="1F497D"/>
        </w:rPr>
      </w:pPr>
    </w:p>
    <w:p>
      <w:pPr>
        <w:jc w:val="left"/>
        <w:rPr>
          <w:b/>
          <w:color w:val="1F497D"/>
        </w:rPr>
      </w:pPr>
      <w:r>
        <w:rPr>
          <w:rFonts w:hint="eastAsia"/>
          <w:b/>
          <w:color w:val="1F497D"/>
        </w:rPr>
        <w:t>河北省迁安市市委书记</w:t>
      </w:r>
      <w:r>
        <w:rPr>
          <w:b/>
          <w:color w:val="1F497D"/>
        </w:rPr>
        <w:t xml:space="preserve"> </w:t>
      </w:r>
      <w:r>
        <w:rPr>
          <w:rFonts w:hint="eastAsia"/>
          <w:b/>
          <w:color w:val="1F497D"/>
        </w:rPr>
        <w:t xml:space="preserve">  李忠</w:t>
      </w:r>
      <w:r>
        <w:rPr>
          <w:b/>
          <w:color w:val="1F497D"/>
        </w:rPr>
        <w:t xml:space="preserve">        </w:t>
      </w:r>
      <w:r>
        <w:rPr>
          <w:rFonts w:hint="eastAsia"/>
          <w:b/>
          <w:color w:val="1F497D"/>
        </w:rPr>
        <w:t xml:space="preserve">              清华同方洁净技术有限公司   张彩云</w:t>
      </w:r>
    </w:p>
    <w:p>
      <w:r>
        <mc:AlternateContent>
          <mc:Choice Requires="wps">
            <w:drawing>
              <wp:anchor distT="0" distB="0" distL="114300" distR="114300" simplePos="0" relativeHeight="251660288" behindDoc="0" locked="0" layoutInCell="1" allowOverlap="1">
                <wp:simplePos x="0" y="0"/>
                <wp:positionH relativeFrom="column">
                  <wp:posOffset>12700</wp:posOffset>
                </wp:positionH>
                <wp:positionV relativeFrom="paragraph">
                  <wp:posOffset>34925</wp:posOffset>
                </wp:positionV>
                <wp:extent cx="1614170" cy="1252855"/>
                <wp:effectExtent l="0" t="0" r="0" b="0"/>
                <wp:wrapNone/>
                <wp:docPr id="3" name="文本框 51"/>
                <wp:cNvGraphicFramePr/>
                <a:graphic xmlns:a="http://schemas.openxmlformats.org/drawingml/2006/main">
                  <a:graphicData uri="http://schemas.microsoft.com/office/word/2010/wordprocessingShape">
                    <wps:wsp>
                      <wps:cNvSpPr txBox="1"/>
                      <wps:spPr>
                        <a:xfrm>
                          <a:off x="0" y="0"/>
                          <a:ext cx="1614170" cy="1252855"/>
                        </a:xfrm>
                        <a:prstGeom prst="rect">
                          <a:avLst/>
                        </a:prstGeom>
                        <a:noFill/>
                        <a:ln w="9525">
                          <a:noFill/>
                        </a:ln>
                      </wps:spPr>
                      <wps:txbx>
                        <w:txbxContent>
                          <w:p>
                            <w:pPr>
                              <w:pStyle w:val="15"/>
                              <w:rPr>
                                <w:sz w:val="18"/>
                                <w:szCs w:val="18"/>
                              </w:rPr>
                            </w:pPr>
                            <w:r>
                              <w:rPr>
                                <w:rFonts w:hint="eastAsia"/>
                                <w:sz w:val="18"/>
                                <w:szCs w:val="18"/>
                              </w:rPr>
                              <w:t>凡事都要脚踏实地的去做，不驰于空想，不骜于虚声，而惟以求真的态度做踏实的工夫。以此态度求学，则真理可明；以此态度做事，则功业可成。</w:t>
                            </w:r>
                          </w:p>
                        </w:txbxContent>
                      </wps:txbx>
                      <wps:bodyPr wrap="square" upright="1"/>
                    </wps:wsp>
                  </a:graphicData>
                </a:graphic>
              </wp:anchor>
            </w:drawing>
          </mc:Choice>
          <mc:Fallback>
            <w:pict>
              <v:shape id="文本框 51" o:spid="_x0000_s1026" o:spt="202" type="#_x0000_t202" style="position:absolute;left:0pt;margin-left:1pt;margin-top:2.75pt;height:98.65pt;width:127.1pt;z-index:251660288;mso-width-relative:page;mso-height-relative:page;" filled="f" stroked="f" coordsize="21600,21600" o:gfxdata="UEsDBAoAAAAAAIdO4kAAAAAAAAAAAAAAAAAEAAAAZHJzL1BLAwQUAAAACACHTuJACb647NUAAAAH&#10;AQAADwAAAGRycy9kb3ducmV2LnhtbE2PzW7CMBCE75X6DtZW4lbWWATRNA6HVr2CSn+k3ky8JFHj&#10;dRQbEt4ec2qPOzOa+bbYTK4TZxpC61nDYi5BEFfetlxr+Px4e1yDCNGwNZ1n0nChAJvy/q4wufUj&#10;v9N5H2uRSjjkRkMTY58jhqohZ8Lc98TJO/rBmZjOoUY7mDGVuw6VlCt0puW00JieXhqqfvcnp+Fr&#10;e/z5Xspd/eqyfvSTRHZPqPXsYSGfQUSa4l8YbvgJHcrEdPAntkF0GlT6JGrIMhDJVdlKgTjcZLUG&#10;LAv8z19eAVBLAwQUAAAACACHTuJAhRZxLqQBAAAZAwAADgAAAGRycy9lMm9Eb2MueG1srVJLbtsw&#10;EN0H6B0I7mtZapSkgukARZBsiqZA0gPQFGkR4K8c2pIv0N4gq26677l8jgxpxynaXdHNkJzPm3lv&#10;uLierCFbGUF7x2g9m1MinfC9dmtGvzzevr2iBBJ3PTfeSUZ3Euj18s3ZYgydbPzgTS8jQRAH3RgY&#10;HVIKXVWBGKTlMPNBOgwqHy1P+Izrqo98RHRrqmY+v6hGH/sQvZAA6L05BOmy4CslRbpXCmQihlGc&#10;LRUbi11lWy0XvFtHHgYtjmPwf5jCcu2w6QnqhidONlH/BWW1iB68SjPhbeWV0kIWDsimnv/B5mHg&#10;QRYuKA6Ek0zw/2DFp+3nSHTP6DtKHLe4ov3T9/2PX/uf30hbZ33GAB2mPQRMTNMHP+GeX/yAzkx7&#10;UtHmEwkRjKPSu5O6ckpE5KKL+ry+xJDAWN20zVXbZpzqtTxESHfSW5IvjEZcX1GVbz9COqS+pORu&#10;zt9qY8oKjSMjo+/bpi0FpwiCG4c9MonDsPmWptV0ZLby/Q6JjfgFGIWvGx4lJZsQ9XrACQrRUoz6&#10;l1GPfyUv+Pd3afH6o5f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Cb647NUAAAAHAQAADwAAAAAA&#10;AAABACAAAAAiAAAAZHJzL2Rvd25yZXYueG1sUEsBAhQAFAAAAAgAh07iQIUWcS6kAQAAGQMAAA4A&#10;AAAAAAAAAQAgAAAAJAEAAGRycy9lMm9Eb2MueG1sUEsFBgAAAAAGAAYAWQEAADoFAAAAAA==&#10;">
                <v:fill on="f" focussize="0,0"/>
                <v:stroke on="f"/>
                <v:imagedata o:title=""/>
                <o:lock v:ext="edit" aspectratio="f"/>
                <v:textbox>
                  <w:txbxContent>
                    <w:p>
                      <w:pPr>
                        <w:pStyle w:val="15"/>
                        <w:rPr>
                          <w:sz w:val="18"/>
                          <w:szCs w:val="18"/>
                        </w:rPr>
                      </w:pPr>
                      <w:r>
                        <w:rPr>
                          <w:rFonts w:hint="eastAsia"/>
                          <w:sz w:val="18"/>
                          <w:szCs w:val="18"/>
                        </w:rPr>
                        <w:t>凡事都要脚踏实地的去做，不驰于空想，不骜于虚声，而惟以求真的态度做踏实的工夫。以此态度求学，则真理可明；以此态度做事，则功业可成。</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3246755</wp:posOffset>
                </wp:positionH>
                <wp:positionV relativeFrom="paragraph">
                  <wp:posOffset>42545</wp:posOffset>
                </wp:positionV>
                <wp:extent cx="1574800" cy="1474470"/>
                <wp:effectExtent l="0" t="0" r="0" b="0"/>
                <wp:wrapNone/>
                <wp:docPr id="6" name="文本框 54"/>
                <wp:cNvGraphicFramePr/>
                <a:graphic xmlns:a="http://schemas.openxmlformats.org/drawingml/2006/main">
                  <a:graphicData uri="http://schemas.microsoft.com/office/word/2010/wordprocessingShape">
                    <wps:wsp>
                      <wps:cNvSpPr txBox="1"/>
                      <wps:spPr>
                        <a:xfrm>
                          <a:off x="0" y="0"/>
                          <a:ext cx="1574800" cy="1474470"/>
                        </a:xfrm>
                        <a:prstGeom prst="rect">
                          <a:avLst/>
                        </a:prstGeom>
                        <a:noFill/>
                        <a:ln w="9525">
                          <a:noFill/>
                        </a:ln>
                      </wps:spPr>
                      <wps:txbx>
                        <w:txbxContent>
                          <w:p>
                            <w:pPr>
                              <w:pStyle w:val="15"/>
                              <w:rPr>
                                <w:sz w:val="18"/>
                                <w:szCs w:val="18"/>
                              </w:rPr>
                            </w:pPr>
                            <w:r>
                              <w:rPr>
                                <w:rFonts w:hint="eastAsia"/>
                                <w:sz w:val="18"/>
                                <w:szCs w:val="18"/>
                              </w:rPr>
                              <w:t>做为一名国有企业的管理者，我选择</w:t>
                            </w:r>
                            <w:r>
                              <w:rPr>
                                <w:sz w:val="18"/>
                                <w:szCs w:val="18"/>
                              </w:rPr>
                              <w:t>MB</w:t>
                            </w:r>
                            <w:r>
                              <w:rPr>
                                <w:rFonts w:hint="eastAsia"/>
                                <w:sz w:val="18"/>
                                <w:szCs w:val="18"/>
                              </w:rPr>
                              <w:t>A学习主要是系统学习工商管理知识，积极创新思维观念，丰富知识结构，提升综合素质和运筹能力，从而为企业的进一步发展提供可靠保障。</w:t>
                            </w:r>
                          </w:p>
                        </w:txbxContent>
                      </wps:txbx>
                      <wps:bodyPr wrap="square" upright="1"/>
                    </wps:wsp>
                  </a:graphicData>
                </a:graphic>
              </wp:anchor>
            </w:drawing>
          </mc:Choice>
          <mc:Fallback>
            <w:pict>
              <v:shape id="文本框 54" o:spid="_x0000_s1026" o:spt="202" type="#_x0000_t202" style="position:absolute;left:0pt;margin-left:255.65pt;margin-top:3.35pt;height:116.1pt;width:124pt;z-index:251663360;mso-width-relative:page;mso-height-relative:page;" filled="f" stroked="f" coordsize="21600,21600" o:gfxdata="UEsDBAoAAAAAAIdO4kAAAAAAAAAAAAAAAAAEAAAAZHJzL1BLAwQUAAAACACHTuJAP6bCV9cAAAAJ&#10;AQAADwAAAGRycy9kb3ducmV2LnhtbE2PzU7DMBCE70i8g7VI3KidlrRNyKYHEFcQ5Ufi5ibbJCJe&#10;R7HbhLdnOcFxNKOZb4rd7Hp1pjF0nhGShQFFXPm64wbh7fXxZgsqRMu17T0TwjcF2JWXF4XNaz/x&#10;C533sVFSwiG3CG2MQ651qFpyNiz8QCze0Y/ORpFjo+vRTlLuer00Zq2d7VgWWjvQfUvV1/7kEN6f&#10;jp8ft+a5eXDpMPnZaHaZRry+SswdqEhz/AvDL76gQylMB3/iOqgeIU2SlUQR1htQ4m/STPQBYbna&#10;ZqDLQv9/UP4AUEsDBBQAAAAIAIdO4kBwaMNFpgEAABkDAAAOAAAAZHJzL2Uyb0RvYy54bWytUsFu&#10;GyEQvUfqPyDu9a6tdZyujCNVUXqJ0khJPgCz4EUChgL2rn+g/YOeesk93+XvyEAcp2pvVS8DzMyb&#10;mfeG5eVoDdnJEDU4RqeTmhLpBHTabRh9fLj+eEFJTNx13ICTjO5lpJerD2fLwbdyBj2YTgaCRVxs&#10;B89on5JvqyqKXloeJ+Clw6CCYHnCZ9hUXeADVremmtX1eTVA6HwAIWNE79VrkK5KfaWkSF+VijIR&#10;wyjOlooNxa6zrVZL3m4C970WxzH4P0xhuXbY9FTqiidOtkH/VcpqESCCShMBtgKltJCFA7KZ1n+w&#10;ue+5l4ULihP9Sab4/8qK291dILpj9JwSxy2u6PDzx+HX8+HpO5k3WZ/BxxbT7j0mpvEzjLjnN39E&#10;Z6Y9qmDziYQIxlHp/UldOSYiMmi+aC5qDAmMTZtF0yyK/tU73IeYvkiwJF8YDbi+oirf3cSEo2Dq&#10;W0ru5uBaG1NWaBwZGP00n80L4BRBhHEIzCReh823NK7HI7M1dHskNuAXYDR+2/IgKdn6oDc9TlCI&#10;FjDqX/of/0pe8O/v0uL9R69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mwlfXAAAACQEAAA8A&#10;AAAAAAAAAQAgAAAAIgAAAGRycy9kb3ducmV2LnhtbFBLAQIUABQAAAAIAIdO4kBwaMNFpgEAABkD&#10;AAAOAAAAAAAAAAEAIAAAACYBAABkcnMvZTJvRG9jLnhtbFBLBQYAAAAABgAGAFkBAAA+BQAAAAA=&#10;">
                <v:fill on="f" focussize="0,0"/>
                <v:stroke on="f"/>
                <v:imagedata o:title=""/>
                <o:lock v:ext="edit" aspectratio="f"/>
                <v:textbox>
                  <w:txbxContent>
                    <w:p>
                      <w:pPr>
                        <w:pStyle w:val="15"/>
                        <w:rPr>
                          <w:sz w:val="18"/>
                          <w:szCs w:val="18"/>
                        </w:rPr>
                      </w:pPr>
                      <w:r>
                        <w:rPr>
                          <w:rFonts w:hint="eastAsia"/>
                          <w:sz w:val="18"/>
                          <w:szCs w:val="18"/>
                        </w:rPr>
                        <w:t>做为一名国有企业的管理者，我选择</w:t>
                      </w:r>
                      <w:r>
                        <w:rPr>
                          <w:sz w:val="18"/>
                          <w:szCs w:val="18"/>
                        </w:rPr>
                        <w:t>MB</w:t>
                      </w:r>
                      <w:r>
                        <w:rPr>
                          <w:rFonts w:hint="eastAsia"/>
                          <w:sz w:val="18"/>
                          <w:szCs w:val="18"/>
                        </w:rPr>
                        <w:t>A学习主要是系统学习工商管理知识，积极创新思维观念，丰富知识结构，提升综合素质和运筹能力，从而为企业的进一步发展提供可靠保障。</w:t>
                      </w:r>
                    </w:p>
                  </w:txbxContent>
                </v:textbox>
              </v:shape>
            </w:pict>
          </mc:Fallback>
        </mc:AlternateContent>
      </w:r>
      <w:r>
        <w:drawing>
          <wp:anchor distT="12065" distB="19685" distL="114300" distR="118745" simplePos="0" relativeHeight="251671552" behindDoc="1" locked="0" layoutInCell="1" allowOverlap="1">
            <wp:simplePos x="0" y="0"/>
            <wp:positionH relativeFrom="column">
              <wp:posOffset>3181350</wp:posOffset>
            </wp:positionH>
            <wp:positionV relativeFrom="paragraph">
              <wp:posOffset>11430</wp:posOffset>
            </wp:positionV>
            <wp:extent cx="1114425" cy="1343025"/>
            <wp:effectExtent l="0" t="0" r="9525" b="9525"/>
            <wp:wrapTight wrapText="bothSides">
              <wp:wrapPolygon>
                <wp:start x="8494" y="303"/>
                <wp:lineTo x="6281" y="921"/>
                <wp:lineTo x="1113" y="4291"/>
                <wp:lineTo x="-371" y="10109"/>
                <wp:lineTo x="742" y="15624"/>
                <wp:lineTo x="5168" y="20219"/>
                <wp:lineTo x="7752" y="21140"/>
                <wp:lineTo x="8494" y="21140"/>
                <wp:lineTo x="12920" y="21140"/>
                <wp:lineTo x="13662" y="21140"/>
                <wp:lineTo x="16246" y="20219"/>
                <wp:lineTo x="16246" y="19915"/>
                <wp:lineTo x="16988" y="19915"/>
                <wp:lineTo x="20673" y="15624"/>
                <wp:lineTo x="20673" y="15017"/>
                <wp:lineTo x="21785" y="10727"/>
                <wp:lineTo x="21785" y="10109"/>
                <wp:lineTo x="21415" y="8581"/>
                <wp:lineTo x="20673" y="4594"/>
                <wp:lineTo x="15134" y="921"/>
                <wp:lineTo x="12920" y="303"/>
                <wp:lineTo x="8494" y="303"/>
              </wp:wrapPolygon>
            </wp:wrapTight>
            <wp:docPr id="14" name="Picture 86" descr="IMG_8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6" descr="IMG_8695"/>
                    <pic:cNvPicPr>
                      <a:picLocks noChangeAspect="1" noChangeArrowheads="1"/>
                    </pic:cNvPicPr>
                  </pic:nvPicPr>
                  <pic:blipFill>
                    <a:blip r:embed="rId27" cstate="print"/>
                    <a:srcRect l="38277"/>
                    <a:stretch>
                      <a:fillRect/>
                    </a:stretch>
                  </pic:blipFill>
                  <pic:spPr>
                    <a:xfrm>
                      <a:off x="0" y="0"/>
                      <a:ext cx="1114425" cy="1343025"/>
                    </a:xfrm>
                    <a:prstGeom prst="ellipse">
                      <a:avLst/>
                    </a:prstGeom>
                    <a:noFill/>
                    <a:ln>
                      <a:noFill/>
                    </a:ln>
                    <a:effectLst>
                      <a:softEdge rad="112500"/>
                    </a:effectLst>
                  </pic:spPr>
                </pic:pic>
              </a:graphicData>
            </a:graphic>
          </wp:anchor>
        </w:drawing>
      </w:r>
      <w:r>
        <w:drawing>
          <wp:anchor distT="12065" distB="18415" distL="114300" distR="122555" simplePos="0" relativeHeight="251675648" behindDoc="0" locked="0" layoutInCell="1" allowOverlap="1">
            <wp:simplePos x="0" y="0"/>
            <wp:positionH relativeFrom="column">
              <wp:posOffset>-10795</wp:posOffset>
            </wp:positionH>
            <wp:positionV relativeFrom="paragraph">
              <wp:posOffset>13335</wp:posOffset>
            </wp:positionV>
            <wp:extent cx="1075055" cy="1316990"/>
            <wp:effectExtent l="0" t="0" r="10795" b="16510"/>
            <wp:wrapSquare wrapText="bothSides"/>
            <wp:docPr id="1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5"/>
                    <pic:cNvPicPr>
                      <a:picLocks noChangeAspect="1" noChangeArrowheads="1"/>
                    </pic:cNvPicPr>
                  </pic:nvPicPr>
                  <pic:blipFill>
                    <a:blip r:embed="rId28" cstate="print"/>
                    <a:srcRect/>
                    <a:stretch>
                      <a:fillRect/>
                    </a:stretch>
                  </pic:blipFill>
                  <pic:spPr>
                    <a:xfrm>
                      <a:off x="0" y="0"/>
                      <a:ext cx="1075055" cy="1316990"/>
                    </a:xfrm>
                    <a:prstGeom prst="ellipse">
                      <a:avLst/>
                    </a:prstGeom>
                    <a:noFill/>
                    <a:ln>
                      <a:noFill/>
                    </a:ln>
                    <a:effectLst>
                      <a:softEdge rad="112500"/>
                    </a:effectLst>
                  </pic:spPr>
                </pic:pic>
              </a:graphicData>
            </a:graphic>
          </wp:anchor>
        </w:drawing>
      </w:r>
    </w:p>
    <w:p/>
    <w:p/>
    <w:p/>
    <w:p/>
    <w:p>
      <w:pPr>
        <w:rPr>
          <w:b/>
          <w:color w:val="1F497D"/>
        </w:rPr>
      </w:pPr>
    </w:p>
    <w:p>
      <w:pPr>
        <w:rPr>
          <w:b/>
          <w:color w:val="1F497D"/>
        </w:rPr>
      </w:pPr>
    </w:p>
    <w:p>
      <w:pPr>
        <w:rPr>
          <w:b/>
          <w:color w:val="1F497D"/>
        </w:rPr>
      </w:pPr>
    </w:p>
    <w:p>
      <w:pPr>
        <w:rPr>
          <w:b/>
          <w:color w:val="1F497D"/>
        </w:rPr>
      </w:pPr>
      <w:r>
        <w:rPr>
          <w:rFonts w:hint="eastAsia"/>
          <w:b/>
          <w:color w:val="1F497D"/>
        </w:rPr>
        <w:t>创维集团有限公司    陈苡筱                      加拿大实力国际有限公司     杜鹃</w:t>
      </w:r>
    </w:p>
    <w:p>
      <w:pPr>
        <w:rPr>
          <w:b/>
          <w:color w:val="1F497D"/>
        </w:rPr>
      </w:pPr>
      <w:r>
        <mc:AlternateContent>
          <mc:Choice Requires="wps">
            <w:drawing>
              <wp:anchor distT="0" distB="0" distL="114300" distR="114300" simplePos="0" relativeHeight="251677696" behindDoc="0" locked="0" layoutInCell="1" allowOverlap="1">
                <wp:simplePos x="0" y="0"/>
                <wp:positionH relativeFrom="column">
                  <wp:posOffset>172085</wp:posOffset>
                </wp:positionH>
                <wp:positionV relativeFrom="paragraph">
                  <wp:posOffset>40005</wp:posOffset>
                </wp:positionV>
                <wp:extent cx="1561465" cy="1828800"/>
                <wp:effectExtent l="0" t="0" r="0" b="0"/>
                <wp:wrapNone/>
                <wp:docPr id="20" name="文本框 98"/>
                <wp:cNvGraphicFramePr/>
                <a:graphic xmlns:a="http://schemas.openxmlformats.org/drawingml/2006/main">
                  <a:graphicData uri="http://schemas.microsoft.com/office/word/2010/wordprocessingShape">
                    <wps:wsp>
                      <wps:cNvSpPr txBox="1"/>
                      <wps:spPr>
                        <a:xfrm>
                          <a:off x="0" y="0"/>
                          <a:ext cx="1561465" cy="1828800"/>
                        </a:xfrm>
                        <a:prstGeom prst="rect">
                          <a:avLst/>
                        </a:prstGeom>
                        <a:noFill/>
                        <a:ln w="9525">
                          <a:noFill/>
                        </a:ln>
                      </wps:spPr>
                      <wps:txbx>
                        <w:txbxContent>
                          <w:p>
                            <w:pPr>
                              <w:pStyle w:val="15"/>
                              <w:rPr>
                                <w:rFonts w:ascii="宋体" w:hAnsi="宋体"/>
                                <w:sz w:val="18"/>
                                <w:szCs w:val="18"/>
                              </w:rPr>
                            </w:pPr>
                            <w:r>
                              <w:rPr>
                                <w:rFonts w:ascii="宋体" w:hAnsi="宋体"/>
                                <w:kern w:val="0"/>
                                <w:sz w:val="18"/>
                                <w:szCs w:val="18"/>
                              </w:rPr>
                              <w:t>在学习过程中，我受益最大的是专业知识水平的提高</w:t>
                            </w:r>
                            <w:r>
                              <w:rPr>
                                <w:rFonts w:hint="eastAsia" w:ascii="宋体" w:hAnsi="宋体"/>
                                <w:kern w:val="0"/>
                                <w:sz w:val="18"/>
                                <w:szCs w:val="18"/>
                              </w:rPr>
                              <w:t>。</w:t>
                            </w:r>
                            <w:r>
                              <w:rPr>
                                <w:rFonts w:ascii="宋体" w:hAnsi="宋体"/>
                                <w:kern w:val="0"/>
                                <w:sz w:val="18"/>
                                <w:szCs w:val="18"/>
                              </w:rPr>
                              <w:t>通</w:t>
                            </w:r>
                            <w:r>
                              <w:rPr>
                                <w:rFonts w:hint="eastAsia" w:ascii="宋体" w:hAnsi="宋体"/>
                                <w:kern w:val="0"/>
                                <w:sz w:val="18"/>
                                <w:szCs w:val="18"/>
                              </w:rPr>
                              <w:t>过D</w:t>
                            </w:r>
                            <w:r>
                              <w:rPr>
                                <w:rFonts w:ascii="宋体" w:hAnsi="宋体"/>
                                <w:kern w:val="0"/>
                                <w:sz w:val="18"/>
                                <w:szCs w:val="18"/>
                              </w:rPr>
                              <w:t>BA学习，弥补了我很多商业运作领域的知识缺陷。战略管理、运营管理、市场营销和人力资源管理等方面都是作为一名企业高级管理者所必需的。</w:t>
                            </w:r>
                          </w:p>
                        </w:txbxContent>
                      </wps:txbx>
                      <wps:bodyPr wrap="square" upright="1"/>
                    </wps:wsp>
                  </a:graphicData>
                </a:graphic>
              </wp:anchor>
            </w:drawing>
          </mc:Choice>
          <mc:Fallback>
            <w:pict>
              <v:shape id="文本框 98" o:spid="_x0000_s1026" o:spt="202" type="#_x0000_t202" style="position:absolute;left:0pt;margin-left:13.55pt;margin-top:3.15pt;height:144pt;width:122.95pt;z-index:251677696;mso-width-relative:page;mso-height-relative:page;" filled="f" stroked="f" coordsize="21600,21600" o:gfxdata="UEsDBAoAAAAAAIdO4kAAAAAAAAAAAAAAAAAEAAAAZHJzL1BLAwQUAAAACACHTuJAl0xpxNYAAAAI&#10;AQAADwAAAGRycy9kb3ducmV2LnhtbE2PwU7DMBBE70j8g7VI3KidpLQ0xOmhFVcQbUHi5sbbJCJe&#10;R7HbhL9nOdHbjmY0+6ZYT64TFxxC60lDMlMgkCpvW6o1HPYvD08gQjRkTecJNfxggHV5e1OY3PqR&#10;3vGyi7XgEgq50dDE2OdShqpBZ8LM90jsnfzgTGQ51NIOZuRy18lUqYV0piX+0JgeNw1W37uz0/Dx&#10;evr6nKu3euse+9FPSpJbSa3v7xL1DCLiFP/D8IfP6FAy09GfyQbRaUiXCSc1LDIQbKfLjKcd+VjN&#10;M5BlIa8HlL9QSwMEFAAAAAgAh07iQDvjKRymAQAAGgMAAA4AAABkcnMvZTJvRG9jLnhtbK1SS27b&#10;MBDdF+gdCO5jyUJsKILpAEGQboq2QNoD0BRpEeAvQ9qSL9DeoKtuuu+5fI4OGccJ2l2QzZCcz5t5&#10;87i6nqwhewlRe8fofFZTIp3wvXZbRr99vbtoKYmJu54b7ySjBxnp9fr9u9UYOtn4wZteAkEQF7sx&#10;MDqkFLqqimKQlseZD9JhUHmwPOETtlUPfER0a6qmrpfV6KEP4IWMEb23j0G6LvhKSZE+KxVlIoZR&#10;nC0VC8Vusq3WK95tgYdBi9MY/BVTWK4dNj1D3fLEyQ70f1BWC/DRqzQT3lZeKS1k4YBs5vU/bO4H&#10;HmThgsuJ4bym+Haw4tP+CxDdM9rgehy3qNHx54/jrz/H39/JVZsXNIbYYd59wMw03fgJhX7yR3Rm&#10;3pMCm09kRDCOWIfzeuWUiMhFi+X8crmgRGBs3jZtWxcBqufyADF9kN6SfGEUUL+yVr7/GBOOgqlP&#10;Kbmb83famKKhcWRk9GrRLErBOYIVxmFhJvE4bL6laTOdmG18f0BiI/4BRuPDjoOkZBdAbwecoBAt&#10;xShA6X/6LFnhl+/S4vlLr/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l0xpxNYAAAAIAQAADwAA&#10;AAAAAAABACAAAAAiAAAAZHJzL2Rvd25yZXYueG1sUEsBAhQAFAAAAAgAh07iQDvjKRymAQAAGgMA&#10;AA4AAAAAAAAAAQAgAAAAJQEAAGRycy9lMm9Eb2MueG1sUEsFBgAAAAAGAAYAWQEAAD0FAAAAAA==&#10;">
                <v:fill on="f" focussize="0,0"/>
                <v:stroke on="f"/>
                <v:imagedata o:title=""/>
                <o:lock v:ext="edit" aspectratio="f"/>
                <v:textbox>
                  <w:txbxContent>
                    <w:p>
                      <w:pPr>
                        <w:pStyle w:val="15"/>
                        <w:rPr>
                          <w:rFonts w:ascii="宋体" w:hAnsi="宋体"/>
                          <w:sz w:val="18"/>
                          <w:szCs w:val="18"/>
                        </w:rPr>
                      </w:pPr>
                      <w:r>
                        <w:rPr>
                          <w:rFonts w:ascii="宋体" w:hAnsi="宋体"/>
                          <w:kern w:val="0"/>
                          <w:sz w:val="18"/>
                          <w:szCs w:val="18"/>
                        </w:rPr>
                        <w:t>在学习过程中，我受益最大的是专业知识水平的提高</w:t>
                      </w:r>
                      <w:r>
                        <w:rPr>
                          <w:rFonts w:hint="eastAsia" w:ascii="宋体" w:hAnsi="宋体"/>
                          <w:kern w:val="0"/>
                          <w:sz w:val="18"/>
                          <w:szCs w:val="18"/>
                        </w:rPr>
                        <w:t>。</w:t>
                      </w:r>
                      <w:r>
                        <w:rPr>
                          <w:rFonts w:ascii="宋体" w:hAnsi="宋体"/>
                          <w:kern w:val="0"/>
                          <w:sz w:val="18"/>
                          <w:szCs w:val="18"/>
                        </w:rPr>
                        <w:t>通</w:t>
                      </w:r>
                      <w:r>
                        <w:rPr>
                          <w:rFonts w:hint="eastAsia" w:ascii="宋体" w:hAnsi="宋体"/>
                          <w:kern w:val="0"/>
                          <w:sz w:val="18"/>
                          <w:szCs w:val="18"/>
                        </w:rPr>
                        <w:t>过D</w:t>
                      </w:r>
                      <w:r>
                        <w:rPr>
                          <w:rFonts w:ascii="宋体" w:hAnsi="宋体"/>
                          <w:kern w:val="0"/>
                          <w:sz w:val="18"/>
                          <w:szCs w:val="18"/>
                        </w:rPr>
                        <w:t>BA学习，弥补了我很多商业运作领域的知识缺陷。战略管理、运营管理、市场营销和人力资源管理等方面都是作为一名企业高级管理者所必需的。</w:t>
                      </w: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3427730</wp:posOffset>
                </wp:positionH>
                <wp:positionV relativeFrom="paragraph">
                  <wp:posOffset>34925</wp:posOffset>
                </wp:positionV>
                <wp:extent cx="1601470" cy="1737995"/>
                <wp:effectExtent l="0" t="0" r="0" b="0"/>
                <wp:wrapNone/>
                <wp:docPr id="21" name="文本框 99"/>
                <wp:cNvGraphicFramePr/>
                <a:graphic xmlns:a="http://schemas.openxmlformats.org/drawingml/2006/main">
                  <a:graphicData uri="http://schemas.microsoft.com/office/word/2010/wordprocessingShape">
                    <wps:wsp>
                      <wps:cNvSpPr txBox="1"/>
                      <wps:spPr>
                        <a:xfrm>
                          <a:off x="0" y="0"/>
                          <a:ext cx="1601470" cy="1737995"/>
                        </a:xfrm>
                        <a:prstGeom prst="rect">
                          <a:avLst/>
                        </a:prstGeom>
                        <a:noFill/>
                        <a:ln w="9525">
                          <a:noFill/>
                        </a:ln>
                      </wps:spPr>
                      <wps:txbx>
                        <w:txbxContent>
                          <w:p>
                            <w:pPr>
                              <w:pStyle w:val="15"/>
                              <w:rPr>
                                <w:rFonts w:ascii="宋体" w:hAnsi="宋体"/>
                                <w:kern w:val="0"/>
                                <w:sz w:val="18"/>
                                <w:szCs w:val="18"/>
                              </w:rPr>
                            </w:pPr>
                            <w:r>
                              <w:rPr>
                                <w:rFonts w:ascii="宋体" w:hAnsi="宋体"/>
                                <w:kern w:val="0"/>
                                <w:sz w:val="18"/>
                                <w:szCs w:val="18"/>
                              </w:rPr>
                              <w:t>“美好的回忆永远不会从生命中褪色，</w:t>
                            </w:r>
                            <w:r>
                              <w:rPr>
                                <w:rFonts w:hint="eastAsia" w:ascii="宋体" w:hAnsi="宋体"/>
                                <w:kern w:val="0"/>
                                <w:sz w:val="18"/>
                                <w:szCs w:val="18"/>
                              </w:rPr>
                              <w:t>D</w:t>
                            </w:r>
                            <w:r>
                              <w:rPr>
                                <w:rFonts w:ascii="宋体" w:hAnsi="宋体"/>
                                <w:kern w:val="0"/>
                                <w:sz w:val="18"/>
                                <w:szCs w:val="18"/>
                              </w:rPr>
                              <w:t>BA就是其中之一。 在</w:t>
                            </w:r>
                            <w:r>
                              <w:rPr>
                                <w:rFonts w:hint="eastAsia" w:ascii="宋体" w:hAnsi="宋体"/>
                                <w:kern w:val="0"/>
                                <w:sz w:val="18"/>
                                <w:szCs w:val="18"/>
                              </w:rPr>
                              <w:t>DBA学习过程中</w:t>
                            </w:r>
                            <w:r>
                              <w:rPr>
                                <w:rFonts w:ascii="宋体" w:hAnsi="宋体"/>
                                <w:kern w:val="0"/>
                                <w:sz w:val="18"/>
                                <w:szCs w:val="18"/>
                              </w:rPr>
                              <w:t>，不仅带给我们扎实的管理知识，也让我们结交了一批卓越的校友。更重要的是，</w:t>
                            </w:r>
                            <w:r>
                              <w:rPr>
                                <w:rFonts w:hint="eastAsia" w:ascii="宋体" w:hAnsi="宋体"/>
                                <w:kern w:val="0"/>
                                <w:sz w:val="18"/>
                                <w:szCs w:val="18"/>
                              </w:rPr>
                              <w:t>UMT</w:t>
                            </w:r>
                            <w:r>
                              <w:rPr>
                                <w:rFonts w:ascii="宋体" w:hAnsi="宋体"/>
                                <w:kern w:val="0"/>
                                <w:sz w:val="18"/>
                                <w:szCs w:val="18"/>
                              </w:rPr>
                              <w:t>帮助我们在事业上更上一层楼。</w:t>
                            </w:r>
                          </w:p>
                        </w:txbxContent>
                      </wps:txbx>
                      <wps:bodyPr wrap="square" upright="1"/>
                    </wps:wsp>
                  </a:graphicData>
                </a:graphic>
              </wp:anchor>
            </w:drawing>
          </mc:Choice>
          <mc:Fallback>
            <w:pict>
              <v:shape id="文本框 99" o:spid="_x0000_s1026" o:spt="202" type="#_x0000_t202" style="position:absolute;left:0pt;margin-left:269.9pt;margin-top:2.75pt;height:136.85pt;width:126.1pt;z-index:251678720;mso-width-relative:page;mso-height-relative:page;" filled="f" stroked="f" coordsize="21600,21600" o:gfxdata="UEsDBAoAAAAAAIdO4kAAAAAAAAAAAAAAAAAEAAAAZHJzL1BLAwQUAAAACACHTuJASPoQytUAAAAJ&#10;AQAADwAAAGRycy9kb3ducmV2LnhtbE2PzU7DMBCE70i8g7VI3Oi6gQAJcXoAcQVRfiRubrxNIuJ1&#10;FLtNeHuWE9xmNaPZb6rN4gd1pCn2gQ2sVxoUcRNcz62Bt9fHi1tQMVl2dghMBr4pwqY+Pals6cLM&#10;L3TcplZJCcfSGuhSGkvE2HTkbVyFkVi8fZi8TXJOLbrJzlLuB8y0vkZve5YPnR3pvqPma3vwBt6f&#10;9p8fV/q5ffD5OIdFI/sCjTk/W+s7UImW9BeGX3xBh1qYduHALqrBQH5ZCHoSkYMS/6bIZNvOQCYK&#10;sK7w/4L6B1BLAwQUAAAACACHTuJAo09Y7qUBAAAaAwAADgAAAGRycy9lMm9Eb2MueG1srVJLjhMx&#10;EN0jcQfLe9LdgUzoVpyR0GjYIEAaOIDjttOW/KPspDsXgBuwYsOec+UcU3YyGTSzQ2zKdn1e1Xvl&#10;1fVkDdlLiNo7RptZTYl0wvfabRn9+uX21VtKYuKu58Y7yehBRnq9fvliNYZOzv3gTS+BIIiL3RgY&#10;HVIKXVVFMUjL48wH6TCoPFie8Anbqgc+Iro11byur6rRQx/ACxkjem9OQbou+EpJkT4pFWUihlGc&#10;LRULxW6yrdYr3m2Bh0GL8xj8H6awXDtseoG64YmTHehnUFYL8NGrNBPeVl4pLWThgGya+gmbu4EH&#10;WbigODFcZIr/D1Z83H8GontG5w0ljlvc0fHnj+OvP8ff30nbZoHGEDvMuwuYmaZ3fsJFP/gjOjPv&#10;SYHNJzIiGEepDxd55ZSIyEVXdfNmiSGBsWb5etm2i4xTPZYHiOm99JbkC6OA+yuy8v2HmE6pDym5&#10;m/O32piyQ+PIyGi7mC9KwSWC4MZhj0ziNGy+pWkznZltfH9AYiP+AUbjtx0HSckugN4OOEEhWopx&#10;AWXU82fJG/77XVo8fun1P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Ej6EMrVAAAACQEAAA8AAAAA&#10;AAAAAQAgAAAAIgAAAGRycy9kb3ducmV2LnhtbFBLAQIUABQAAAAIAIdO4kCjT1jupQEAABoDAAAO&#10;AAAAAAAAAAEAIAAAACQBAABkcnMvZTJvRG9jLnhtbFBLBQYAAAAABgAGAFkBAAA7BQAAAAA=&#10;">
                <v:fill on="f" focussize="0,0"/>
                <v:stroke on="f"/>
                <v:imagedata o:title=""/>
                <o:lock v:ext="edit" aspectratio="f"/>
                <v:textbox>
                  <w:txbxContent>
                    <w:p>
                      <w:pPr>
                        <w:pStyle w:val="15"/>
                        <w:rPr>
                          <w:rFonts w:ascii="宋体" w:hAnsi="宋体"/>
                          <w:kern w:val="0"/>
                          <w:sz w:val="18"/>
                          <w:szCs w:val="18"/>
                        </w:rPr>
                      </w:pPr>
                      <w:r>
                        <w:rPr>
                          <w:rFonts w:ascii="宋体" w:hAnsi="宋体"/>
                          <w:kern w:val="0"/>
                          <w:sz w:val="18"/>
                          <w:szCs w:val="18"/>
                        </w:rPr>
                        <w:t>“美好的回忆永远不会从生命中褪色，</w:t>
                      </w:r>
                      <w:r>
                        <w:rPr>
                          <w:rFonts w:hint="eastAsia" w:ascii="宋体" w:hAnsi="宋体"/>
                          <w:kern w:val="0"/>
                          <w:sz w:val="18"/>
                          <w:szCs w:val="18"/>
                        </w:rPr>
                        <w:t>D</w:t>
                      </w:r>
                      <w:r>
                        <w:rPr>
                          <w:rFonts w:ascii="宋体" w:hAnsi="宋体"/>
                          <w:kern w:val="0"/>
                          <w:sz w:val="18"/>
                          <w:szCs w:val="18"/>
                        </w:rPr>
                        <w:t>BA就是其中之一。 在</w:t>
                      </w:r>
                      <w:r>
                        <w:rPr>
                          <w:rFonts w:hint="eastAsia" w:ascii="宋体" w:hAnsi="宋体"/>
                          <w:kern w:val="0"/>
                          <w:sz w:val="18"/>
                          <w:szCs w:val="18"/>
                        </w:rPr>
                        <w:t>DBA学习过程中</w:t>
                      </w:r>
                      <w:r>
                        <w:rPr>
                          <w:rFonts w:ascii="宋体" w:hAnsi="宋体"/>
                          <w:kern w:val="0"/>
                          <w:sz w:val="18"/>
                          <w:szCs w:val="18"/>
                        </w:rPr>
                        <w:t>，不仅带给我们扎实的管理知识，也让我们结交了一批卓越的校友。更重要的是，</w:t>
                      </w:r>
                      <w:r>
                        <w:rPr>
                          <w:rFonts w:hint="eastAsia" w:ascii="宋体" w:hAnsi="宋体"/>
                          <w:kern w:val="0"/>
                          <w:sz w:val="18"/>
                          <w:szCs w:val="18"/>
                        </w:rPr>
                        <w:t>UMT</w:t>
                      </w:r>
                      <w:r>
                        <w:rPr>
                          <w:rFonts w:ascii="宋体" w:hAnsi="宋体"/>
                          <w:kern w:val="0"/>
                          <w:sz w:val="18"/>
                          <w:szCs w:val="18"/>
                        </w:rPr>
                        <w:t>帮助我们在事业上更上一层楼。</w:t>
                      </w:r>
                    </w:p>
                  </w:txbxContent>
                </v:textbox>
              </v:shape>
            </w:pict>
          </mc:Fallback>
        </mc:AlternateContent>
      </w:r>
      <w:r>
        <w:drawing>
          <wp:anchor distT="12065" distB="20955" distL="114300" distR="121920" simplePos="0" relativeHeight="251679744" behindDoc="0" locked="0" layoutInCell="1" allowOverlap="1">
            <wp:simplePos x="0" y="0"/>
            <wp:positionH relativeFrom="column">
              <wp:posOffset>3067685</wp:posOffset>
            </wp:positionH>
            <wp:positionV relativeFrom="paragraph">
              <wp:posOffset>125730</wp:posOffset>
            </wp:positionV>
            <wp:extent cx="1343025" cy="1362075"/>
            <wp:effectExtent l="0" t="0" r="9525" b="9525"/>
            <wp:wrapSquare wrapText="bothSides"/>
            <wp:docPr id="22"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1"/>
                    <pic:cNvPicPr>
                      <a:picLocks noChangeAspect="1" noChangeArrowheads="1"/>
                    </pic:cNvPicPr>
                  </pic:nvPicPr>
                  <pic:blipFill>
                    <a:blip r:embed="rId29" cstate="print"/>
                    <a:srcRect/>
                    <a:stretch>
                      <a:fillRect/>
                    </a:stretch>
                  </pic:blipFill>
                  <pic:spPr>
                    <a:xfrm>
                      <a:off x="0" y="0"/>
                      <a:ext cx="1343025" cy="1362075"/>
                    </a:xfrm>
                    <a:prstGeom prst="ellipse">
                      <a:avLst/>
                    </a:prstGeom>
                    <a:noFill/>
                    <a:ln>
                      <a:noFill/>
                    </a:ln>
                    <a:effectLst>
                      <a:softEdge rad="112500"/>
                    </a:effectLst>
                  </pic:spPr>
                </pic:pic>
              </a:graphicData>
            </a:graphic>
          </wp:anchor>
        </w:drawing>
      </w:r>
      <w:r>
        <w:drawing>
          <wp:anchor distT="12065" distB="17780" distL="126365" distR="119380" simplePos="0" relativeHeight="251680768" behindDoc="0" locked="0" layoutInCell="1" allowOverlap="1">
            <wp:simplePos x="0" y="0"/>
            <wp:positionH relativeFrom="column">
              <wp:posOffset>-142875</wp:posOffset>
            </wp:positionH>
            <wp:positionV relativeFrom="paragraph">
              <wp:posOffset>125730</wp:posOffset>
            </wp:positionV>
            <wp:extent cx="1047115" cy="1285875"/>
            <wp:effectExtent l="0" t="0" r="635" b="9525"/>
            <wp:wrapSquare wrapText="bothSides"/>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pic:cNvPicPr>
                      <a:picLocks noChangeAspect="1" noChangeArrowheads="1"/>
                    </pic:cNvPicPr>
                  </pic:nvPicPr>
                  <pic:blipFill>
                    <a:blip r:embed="rId30" cstate="print"/>
                    <a:srcRect/>
                    <a:stretch>
                      <a:fillRect/>
                    </a:stretch>
                  </pic:blipFill>
                  <pic:spPr>
                    <a:xfrm>
                      <a:off x="0" y="0"/>
                      <a:ext cx="1047750" cy="1285875"/>
                    </a:xfrm>
                    <a:prstGeom prst="ellipse">
                      <a:avLst/>
                    </a:prstGeom>
                    <a:noFill/>
                    <a:ln>
                      <a:noFill/>
                    </a:ln>
                    <a:effectLst>
                      <a:softEdge rad="112500"/>
                    </a:effectLst>
                  </pic:spPr>
                </pic:pic>
              </a:graphicData>
            </a:graphic>
          </wp:anchor>
        </w:drawing>
      </w:r>
    </w:p>
    <w:p>
      <w:pPr>
        <w:ind w:left="5692" w:hanging="5692" w:hangingChars="2700"/>
        <w:rPr>
          <w:b/>
          <w:color w:val="1F497D"/>
        </w:rPr>
      </w:pPr>
    </w:p>
    <w:p>
      <w:pPr>
        <w:ind w:left="5692" w:hanging="5692" w:hangingChars="2700"/>
        <w:rPr>
          <w:b/>
          <w:color w:val="1F497D"/>
        </w:rPr>
      </w:pPr>
    </w:p>
    <w:p>
      <w:pPr>
        <w:ind w:left="5692" w:hanging="5692" w:hangingChars="2700"/>
        <w:rPr>
          <w:b/>
          <w:color w:val="1F497D"/>
        </w:rPr>
      </w:pPr>
    </w:p>
    <w:p>
      <w:pPr>
        <w:ind w:left="5692" w:hanging="5692" w:hangingChars="2700"/>
        <w:rPr>
          <w:b/>
          <w:color w:val="1F497D"/>
        </w:rPr>
      </w:pPr>
    </w:p>
    <w:p>
      <w:pPr>
        <w:ind w:left="5692" w:hanging="5692" w:hangingChars="2700"/>
        <w:rPr>
          <w:b/>
          <w:color w:val="1F497D"/>
        </w:rPr>
      </w:pPr>
    </w:p>
    <w:p>
      <w:pPr>
        <w:rPr>
          <w:b/>
          <w:color w:val="1F497D"/>
        </w:rPr>
      </w:pPr>
    </w:p>
    <w:p>
      <w:pPr>
        <w:ind w:left="5692" w:hanging="5692" w:hangingChars="2700"/>
        <w:rPr>
          <w:rFonts w:hint="eastAsia"/>
          <w:b/>
          <w:color w:val="1F497D"/>
        </w:rPr>
      </w:pPr>
    </w:p>
    <w:p>
      <w:pPr>
        <w:rPr>
          <w:rFonts w:hint="eastAsia"/>
          <w:b/>
          <w:color w:val="1F497D"/>
        </w:rPr>
      </w:pPr>
    </w:p>
    <w:p>
      <w:pPr>
        <w:ind w:left="5692" w:hanging="5692" w:hangingChars="2700"/>
        <w:rPr>
          <w:b/>
          <w:color w:val="1F497D"/>
        </w:rPr>
      </w:pPr>
      <w:r>
        <w:rPr>
          <w:rFonts w:hint="eastAsia"/>
          <w:b/>
          <w:color w:val="1F497D"/>
        </w:rPr>
        <w:t>山东省明水经济开发区财政局       张丙战</w:t>
      </w:r>
      <w:r>
        <w:rPr>
          <w:b/>
          <w:color w:val="1F497D"/>
        </w:rPr>
        <w:t xml:space="preserve">      </w:t>
      </w:r>
      <w:r>
        <w:rPr>
          <w:rFonts w:hint="eastAsia"/>
          <w:b/>
          <w:color w:val="1F497D"/>
        </w:rPr>
        <w:t xml:space="preserve">     陕西省人力资源社会保障厅书记  赵双文</w:t>
      </w:r>
    </w:p>
    <w:p>
      <w:pPr>
        <w:spacing w:line="480" w:lineRule="auto"/>
        <w:rPr>
          <w:rFonts w:eastAsia="黑体"/>
          <w:bCs/>
          <w:color w:val="000000"/>
          <w:sz w:val="24"/>
        </w:rPr>
      </w:pPr>
      <w:r>
        <mc:AlternateContent>
          <mc:Choice Requires="wps">
            <w:drawing>
              <wp:anchor distT="0" distB="0" distL="114300" distR="114300" simplePos="0" relativeHeight="251664384" behindDoc="0" locked="0" layoutInCell="1" allowOverlap="1">
                <wp:simplePos x="0" y="0"/>
                <wp:positionH relativeFrom="column">
                  <wp:posOffset>-123825</wp:posOffset>
                </wp:positionH>
                <wp:positionV relativeFrom="paragraph">
                  <wp:posOffset>-3810</wp:posOffset>
                </wp:positionV>
                <wp:extent cx="2080260" cy="1866900"/>
                <wp:effectExtent l="0" t="0" r="0" b="0"/>
                <wp:wrapNone/>
                <wp:docPr id="7" name="文本框 55"/>
                <wp:cNvGraphicFramePr/>
                <a:graphic xmlns:a="http://schemas.openxmlformats.org/drawingml/2006/main">
                  <a:graphicData uri="http://schemas.microsoft.com/office/word/2010/wordprocessingShape">
                    <wps:wsp>
                      <wps:cNvSpPr txBox="1"/>
                      <wps:spPr>
                        <a:xfrm>
                          <a:off x="0" y="0"/>
                          <a:ext cx="2080260" cy="1866900"/>
                        </a:xfrm>
                        <a:prstGeom prst="rect">
                          <a:avLst/>
                        </a:prstGeom>
                        <a:noFill/>
                        <a:ln w="9525">
                          <a:noFill/>
                        </a:ln>
                      </wps:spPr>
                      <wps:txbx>
                        <w:txbxContent>
                          <w:p>
                            <w:pPr>
                              <w:rPr>
                                <w:rFonts w:hint="eastAsia"/>
                                <w:sz w:val="18"/>
                                <w:szCs w:val="18"/>
                              </w:rPr>
                            </w:pPr>
                            <w:r>
                              <w:rPr>
                                <w:sz w:val="18"/>
                                <w:szCs w:val="18"/>
                              </w:rPr>
                              <w:t>MBA</w:t>
                            </w:r>
                            <w:r>
                              <w:rPr>
                                <w:rFonts w:hint="eastAsia"/>
                                <w:sz w:val="18"/>
                                <w:szCs w:val="18"/>
                              </w:rPr>
                              <w:t>提供给我多重思考的角度，多维化思考的模式去看待政企间的问题。以前这方面都只有零星的思考，而在这里我得到了系统的梳理和有益的启发。此外与各行业精英同学们的讨论与交流也使我获益匪浅，这是一个非常高的平台。</w:t>
                            </w:r>
                          </w:p>
                          <w:p>
                            <w:pPr>
                              <w:rPr>
                                <w:rFonts w:hint="eastAsia"/>
                                <w:sz w:val="18"/>
                                <w:szCs w:val="18"/>
                              </w:rPr>
                            </w:pPr>
                          </w:p>
                          <w:p>
                            <w:pPr>
                              <w:rPr>
                                <w:sz w:val="18"/>
                                <w:szCs w:val="18"/>
                              </w:rPr>
                            </w:pPr>
                          </w:p>
                        </w:txbxContent>
                      </wps:txbx>
                      <wps:bodyPr wrap="square" upright="1"/>
                    </wps:wsp>
                  </a:graphicData>
                </a:graphic>
              </wp:anchor>
            </w:drawing>
          </mc:Choice>
          <mc:Fallback>
            <w:pict>
              <v:shape id="文本框 55" o:spid="_x0000_s1026" o:spt="202" type="#_x0000_t202" style="position:absolute;left:0pt;margin-left:-9.75pt;margin-top:-0.3pt;height:147pt;width:163.8pt;z-index:251664384;mso-width-relative:page;mso-height-relative:page;" filled="f" stroked="f" coordsize="21600,21600" o:gfxdata="UEsDBAoAAAAAAIdO4kAAAAAAAAAAAAAAAAAEAAAAZHJzL1BLAwQUAAAACACHTuJA1mpv9tcAAAAJ&#10;AQAADwAAAGRycy9kb3ducmV2LnhtbE2PS2/CMBCE75X4D9ZW4gZ2eImEOByoeqUqfUjcTLwkUeN1&#10;FBuS/vtuT+1tVjOa+Tbfj64Vd+xD40lDMlcgkEpvG6o0vL89z7YgQjRkTesJNXxjgH0xechNZv1A&#10;r3g/xUpwCYXMaKhj7DIpQ1mjM2HuOyT2rr53JvLZV9L2ZuBy18qFUhvpTEO8UJsODzWWX6eb0/Bx&#10;vJ4/V+qlenLrbvCjkuRSqfX0MVE7EBHH+BeGX3xGh4KZLv5GNohWwyxJ1xxlsQHB/lJtExAXDYt0&#10;uQJZ5PL/B8UPUEsDBBQAAAAIAIdO4kDXpU4lpQEAABkDAAAOAAAAZHJzL2Uyb0RvYy54bWytUktu&#10;2zAQ3RfIHQjuY8kC7DiC6QBBkG6KpkDaA9AUaRHgLxzaki/Q3CCrbrrvuXyODhnHCdpdkM2QnM+b&#10;eW+4vBqtITsZQXvH6HRSUyKd8J12G0Z/fL89X1ACibuOG+8ko3sJ9Gp19mk5hFY2vvemk5EgiIN2&#10;CIz2KYW2qkD00nKY+CAdBpWPlid8xk3VRT4gujVVU9fzavCxC9ELCYDem+cgXRV8paRId0qBTMQw&#10;irOlYmOx62yr1ZK3m8hDr8VxDP6OKSzXDpueoG544mQb9X9QVovowas0Ed5WXiktZOGAbKb1P2zu&#10;ex5k4YLiQDjJBB8HK77uvkWiO0YvKHHc4ooOT4+HX38Ov3+S2SzrMwRoMe0+YGIar/2Ie37xAzoz&#10;7VFFm08kRDCOSu9P6soxEYHOpl7UzRxDAmPTxXx+WRf9q9fyECF9lt6SfGE04vqKqnz3BRKOgqkv&#10;Kbmb87famLJC48jA6OWsmZWCUwQrjMPCTOJ52HxL43o8Mlv7bo/EBvwCjMLDlkdJyTZEvelxgkK0&#10;FKP+pf/xr+QFv32XFq8/evU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1mpv9tcAAAAJAQAADwAA&#10;AAAAAAABACAAAAAiAAAAZHJzL2Rvd25yZXYueG1sUEsBAhQAFAAAAAgAh07iQNelTiWlAQAAGQMA&#10;AA4AAAAAAAAAAQAgAAAAJgEAAGRycy9lMm9Eb2MueG1sUEsFBgAAAAAGAAYAWQEAAD0FAAAAAA==&#10;">
                <v:fill on="f" focussize="0,0"/>
                <v:stroke on="f"/>
                <v:imagedata o:title=""/>
                <o:lock v:ext="edit" aspectratio="f"/>
                <v:textbox>
                  <w:txbxContent>
                    <w:p>
                      <w:pPr>
                        <w:rPr>
                          <w:rFonts w:hint="eastAsia"/>
                          <w:sz w:val="18"/>
                          <w:szCs w:val="18"/>
                        </w:rPr>
                      </w:pPr>
                      <w:r>
                        <w:rPr>
                          <w:sz w:val="18"/>
                          <w:szCs w:val="18"/>
                        </w:rPr>
                        <w:t>MBA</w:t>
                      </w:r>
                      <w:r>
                        <w:rPr>
                          <w:rFonts w:hint="eastAsia"/>
                          <w:sz w:val="18"/>
                          <w:szCs w:val="18"/>
                        </w:rPr>
                        <w:t>提供给我多重思考的角度，多维化思考的模式去看待政企间的问题。以前这方面都只有零星的思考，而在这里我得到了系统的梳理和有益的启发。此外与各行业精英同学们的讨论与交流也使我获益匪浅，这是一个非常高的平台。</w:t>
                      </w:r>
                    </w:p>
                    <w:p>
                      <w:pPr>
                        <w:rPr>
                          <w:rFonts w:hint="eastAsia"/>
                          <w:sz w:val="18"/>
                          <w:szCs w:val="18"/>
                        </w:rPr>
                      </w:pPr>
                    </w:p>
                    <w:p>
                      <w:pPr>
                        <w:rPr>
                          <w:sz w:val="18"/>
                          <w:szCs w:val="18"/>
                        </w:rPr>
                      </w:pPr>
                    </w:p>
                  </w:txbxContent>
                </v:textbox>
              </v:shape>
            </w:pict>
          </mc:Fallback>
        </mc:AlternateContent>
      </w:r>
      <w:r>
        <w:drawing>
          <wp:anchor distT="12065" distB="17145" distL="114300" distR="122555" simplePos="0" relativeHeight="251674624" behindDoc="1" locked="0" layoutInCell="1" allowOverlap="1">
            <wp:simplePos x="0" y="0"/>
            <wp:positionH relativeFrom="column">
              <wp:posOffset>3181350</wp:posOffset>
            </wp:positionH>
            <wp:positionV relativeFrom="paragraph">
              <wp:posOffset>167640</wp:posOffset>
            </wp:positionV>
            <wp:extent cx="1118235" cy="1352550"/>
            <wp:effectExtent l="0" t="0" r="5715" b="0"/>
            <wp:wrapTight wrapText="bothSides">
              <wp:wrapPolygon>
                <wp:start x="8457" y="301"/>
                <wp:lineTo x="6256" y="913"/>
                <wp:lineTo x="1100" y="4262"/>
                <wp:lineTo x="-371" y="10038"/>
                <wp:lineTo x="742" y="15513"/>
                <wp:lineTo x="5156" y="20076"/>
                <wp:lineTo x="7728" y="20988"/>
                <wp:lineTo x="8457" y="20988"/>
                <wp:lineTo x="12883" y="20988"/>
                <wp:lineTo x="13613" y="20988"/>
                <wp:lineTo x="16197" y="20076"/>
                <wp:lineTo x="16197" y="19775"/>
                <wp:lineTo x="16926" y="19775"/>
                <wp:lineTo x="20611" y="15513"/>
                <wp:lineTo x="20611" y="14912"/>
                <wp:lineTo x="21711" y="10650"/>
                <wp:lineTo x="21711" y="10038"/>
                <wp:lineTo x="21340" y="8513"/>
                <wp:lineTo x="20611" y="4563"/>
                <wp:lineTo x="15084" y="913"/>
                <wp:lineTo x="12883" y="301"/>
                <wp:lineTo x="8457" y="301"/>
              </wp:wrapPolygon>
            </wp:wrapTight>
            <wp:docPr id="17" name="Picture 93" descr="赵双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3" descr="赵双文"/>
                    <pic:cNvPicPr>
                      <a:picLocks noChangeAspect="1" noChangeArrowheads="1"/>
                    </pic:cNvPicPr>
                  </pic:nvPicPr>
                  <pic:blipFill>
                    <a:blip r:embed="rId31" cstate="print"/>
                    <a:srcRect/>
                    <a:stretch>
                      <a:fillRect/>
                    </a:stretch>
                  </pic:blipFill>
                  <pic:spPr>
                    <a:xfrm>
                      <a:off x="0" y="0"/>
                      <a:ext cx="1118235" cy="1352550"/>
                    </a:xfrm>
                    <a:prstGeom prst="ellipse">
                      <a:avLst/>
                    </a:prstGeom>
                    <a:noFill/>
                    <a:ln>
                      <a:noFill/>
                    </a:ln>
                    <a:effectLst>
                      <a:softEdge rad="112500"/>
                    </a:effectLst>
                  </pic:spPr>
                </pic:pic>
              </a:graphicData>
            </a:graphic>
          </wp:anchor>
        </w:drawing>
      </w:r>
      <w:r>
        <mc:AlternateContent>
          <mc:Choice Requires="wps">
            <w:drawing>
              <wp:anchor distT="0" distB="0" distL="114300" distR="114300" simplePos="0" relativeHeight="251662336" behindDoc="0" locked="0" layoutInCell="1" allowOverlap="1">
                <wp:simplePos x="0" y="0"/>
                <wp:positionH relativeFrom="column">
                  <wp:posOffset>3353435</wp:posOffset>
                </wp:positionH>
                <wp:positionV relativeFrom="paragraph">
                  <wp:posOffset>234315</wp:posOffset>
                </wp:positionV>
                <wp:extent cx="1623060" cy="1323975"/>
                <wp:effectExtent l="0" t="0" r="0" b="0"/>
                <wp:wrapNone/>
                <wp:docPr id="5" name="文本框 53"/>
                <wp:cNvGraphicFramePr/>
                <a:graphic xmlns:a="http://schemas.openxmlformats.org/drawingml/2006/main">
                  <a:graphicData uri="http://schemas.microsoft.com/office/word/2010/wordprocessingShape">
                    <wps:wsp>
                      <wps:cNvSpPr txBox="1"/>
                      <wps:spPr>
                        <a:xfrm>
                          <a:off x="0" y="0"/>
                          <a:ext cx="1623060" cy="1323975"/>
                        </a:xfrm>
                        <a:prstGeom prst="rect">
                          <a:avLst/>
                        </a:prstGeom>
                        <a:noFill/>
                        <a:ln w="9525">
                          <a:noFill/>
                        </a:ln>
                      </wps:spPr>
                      <wps:txbx>
                        <w:txbxContent>
                          <w:p>
                            <w:pPr>
                              <w:rPr>
                                <w:sz w:val="18"/>
                                <w:szCs w:val="18"/>
                              </w:rPr>
                            </w:pPr>
                            <w:r>
                              <w:rPr>
                                <w:rFonts w:hint="eastAsia"/>
                                <w:sz w:val="18"/>
                                <w:szCs w:val="18"/>
                              </w:rPr>
                              <w:t>一流学校、一流师资、塑造一流人才。学习时间虽短，但收获颇大。对培养管理者的思唯观念、世界眼光、战略思维非常有益。</w:t>
                            </w:r>
                          </w:p>
                        </w:txbxContent>
                      </wps:txbx>
                      <wps:bodyPr wrap="square" upright="1"/>
                    </wps:wsp>
                  </a:graphicData>
                </a:graphic>
              </wp:anchor>
            </w:drawing>
          </mc:Choice>
          <mc:Fallback>
            <w:pict>
              <v:shape id="文本框 53" o:spid="_x0000_s1026" o:spt="202" type="#_x0000_t202" style="position:absolute;left:0pt;margin-left:264.05pt;margin-top:18.45pt;height:104.25pt;width:127.8pt;z-index:251662336;mso-width-relative:page;mso-height-relative:page;" filled="f" stroked="f" coordsize="21600,21600" o:gfxdata="UEsDBAoAAAAAAIdO4kAAAAAAAAAAAAAAAAAEAAAAZHJzL1BLAwQUAAAACACHTuJAug8L79kAAAAK&#10;AQAADwAAAGRycy9kb3ducmV2LnhtbE2Py26DMBBF95X6D9ZU6q6xIZAQwpBFq25bNX1I2TkwAVQ8&#10;RtgJ9O/rrprl6B7de6bYzaYXFxpdZxkhWigQxJWtO24QPt6fHzIQzmuudW+ZEH7Iwa68vSl0XtuJ&#10;3+iy940IJexyjdB6P+RSuqolo93CDsQhO9nRaB/OsZH1qKdQbnoZK7WSRnccFlo90GNL1ff+bBA+&#10;X06Hr0S9Nk8mHSY7K8lmIxHv7yK1BeFp9v8w/OkHdSiD09GeuXaiR0jjLAoownK1ARGAdbZcgzgi&#10;xEmagCwLef1C+QtQSwMEFAAAAAgAh07iQLcfj7KlAQAAGQMAAA4AAABkcnMvZTJvRG9jLnhtbK1S&#10;zW4TMRC+I/UdLN/JbjbaQFdxKlVVe0GAVHgAx2tnLdkeYzvZzQvAG3Diwp3nynMwdtIUwQ31Mrbn&#10;55v5vvHqZrKG7GWIGhyj81lNiXQCeu22jH7+dP/6LSUxcddzA04yepCR3qyvXq1G38kGBjC9DARB&#10;XOxGz+iQku+qKopBWh5n4KXDoIJgecJn2FZ94COiW1M1db2sRgi9DyBkjOi9OwXpuuArJUX6oFSU&#10;iRhGcbZUbCh2k221XvFuG7gftDiPwf9jCsu1w6YXqDueONkF/Q+U1SJABJVmAmwFSmkhCwdkM6//&#10;YvM4cC8LFxQn+otM8eVgxfv9x0B0z2hLieMWV3T8/u3449fx51fSLrI+o48dpj16TEzTLUy45yd/&#10;RGemPalg84mECMZR6cNFXTklInLRslnUSwwJjM0XzeL6TZtxqudyH2J6kGBJvjAacH1FVb5/F9Mp&#10;9Skld3Nwr40pKzSOjIxet01bCi4RBDcOe2QSp2HzLU2b6cxsA/0BiY34BRiNX3Y8SEp2PujtgBMU&#10;oqUY9S+jnv9KXvCf79Li+Uev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6Dwvv2QAAAAoBAAAP&#10;AAAAAAAAAAEAIAAAACIAAABkcnMvZG93bnJldi54bWxQSwECFAAUAAAACACHTuJAtx+PsqUBAAAZ&#10;AwAADgAAAAAAAAABACAAAAAoAQAAZHJzL2Uyb0RvYy54bWxQSwUGAAAAAAYABgBZAQAAPwUAAAAA&#10;">
                <v:fill on="f" focussize="0,0"/>
                <v:stroke on="f"/>
                <v:imagedata o:title=""/>
                <o:lock v:ext="edit" aspectratio="f"/>
                <v:textbox>
                  <w:txbxContent>
                    <w:p>
                      <w:pPr>
                        <w:rPr>
                          <w:sz w:val="18"/>
                          <w:szCs w:val="18"/>
                        </w:rPr>
                      </w:pPr>
                      <w:r>
                        <w:rPr>
                          <w:rFonts w:hint="eastAsia"/>
                          <w:sz w:val="18"/>
                          <w:szCs w:val="18"/>
                        </w:rPr>
                        <w:t>一流学校、一流师资、塑造一流人才。学习时间虽短，但收获颇大。对培养管理者的思唯观念、世界眼光、战略思维非常有益。</w:t>
                      </w:r>
                    </w:p>
                  </w:txbxContent>
                </v:textbox>
              </v:shape>
            </w:pict>
          </mc:Fallback>
        </mc:AlternateContent>
      </w:r>
      <w:r>
        <w:drawing>
          <wp:anchor distT="12065" distB="18415" distL="114300" distR="122555" simplePos="0" relativeHeight="251676672" behindDoc="0" locked="0" layoutInCell="1" allowOverlap="1">
            <wp:simplePos x="0" y="0"/>
            <wp:positionH relativeFrom="column">
              <wp:posOffset>-109220</wp:posOffset>
            </wp:positionH>
            <wp:positionV relativeFrom="paragraph">
              <wp:posOffset>59055</wp:posOffset>
            </wp:positionV>
            <wp:extent cx="1057275" cy="1456690"/>
            <wp:effectExtent l="0" t="0" r="9525" b="10160"/>
            <wp:wrapSquare wrapText="bothSides"/>
            <wp:docPr id="1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7"/>
                    <pic:cNvPicPr>
                      <a:picLocks noChangeAspect="1" noChangeArrowheads="1"/>
                    </pic:cNvPicPr>
                  </pic:nvPicPr>
                  <pic:blipFill>
                    <a:blip r:embed="rId32" cstate="print"/>
                    <a:srcRect/>
                    <a:stretch>
                      <a:fillRect/>
                    </a:stretch>
                  </pic:blipFill>
                  <pic:spPr>
                    <a:xfrm>
                      <a:off x="0" y="0"/>
                      <a:ext cx="1057275" cy="1457325"/>
                    </a:xfrm>
                    <a:prstGeom prst="ellipse">
                      <a:avLst/>
                    </a:prstGeom>
                    <a:noFill/>
                    <a:ln>
                      <a:noFill/>
                    </a:ln>
                    <a:effectLst>
                      <a:softEdge rad="112500"/>
                    </a:effectLst>
                  </pic:spPr>
                </pic:pic>
              </a:graphicData>
            </a:graphic>
          </wp:anchor>
        </w:drawing>
      </w:r>
    </w:p>
    <w:p>
      <w:pPr>
        <w:spacing w:line="480" w:lineRule="auto"/>
        <w:rPr>
          <w:rFonts w:eastAsia="黑体"/>
          <w:bCs/>
          <w:color w:val="000000"/>
          <w:sz w:val="24"/>
        </w:rPr>
      </w:pPr>
    </w:p>
    <w:p>
      <w:pPr>
        <w:spacing w:line="480" w:lineRule="auto"/>
        <w:rPr>
          <w:rFonts w:eastAsia="黑体"/>
          <w:bCs/>
          <w:color w:val="000000"/>
          <w:sz w:val="24"/>
        </w:rPr>
      </w:pPr>
    </w:p>
    <w:p>
      <w:pPr>
        <w:spacing w:line="480" w:lineRule="auto"/>
        <w:ind w:firstLine="843" w:firstLineChars="350"/>
        <w:rPr>
          <w:rFonts w:eastAsia="黑体"/>
          <w:b/>
          <w:bCs/>
          <w:color w:val="FF0000"/>
          <w:sz w:val="24"/>
        </w:rPr>
      </w:pPr>
      <w:r>
        <w:rPr>
          <w:rFonts w:eastAsia="黑体"/>
          <w:b/>
          <w:bCs/>
          <w:color w:val="FF0000"/>
          <w:sz w:val="24"/>
        </w:rPr>
        <w:t>附录</w:t>
      </w:r>
      <w:r>
        <w:rPr>
          <w:rFonts w:hint="eastAsia" w:eastAsia="黑体"/>
          <w:b/>
          <w:bCs/>
          <w:color w:val="FF0000"/>
          <w:sz w:val="24"/>
        </w:rPr>
        <w:t>一</w:t>
      </w:r>
      <w:r>
        <w:rPr>
          <w:rFonts w:eastAsia="黑体"/>
          <w:b/>
          <w:bCs/>
          <w:color w:val="FF0000"/>
          <w:sz w:val="24"/>
        </w:rPr>
        <w:t>：UMT部分学员</w:t>
      </w:r>
    </w:p>
    <w:p>
      <w:pPr>
        <w:spacing w:line="320" w:lineRule="exact"/>
        <w:jc w:val="left"/>
        <w:rPr>
          <w:szCs w:val="21"/>
        </w:rPr>
      </w:pPr>
      <w:r>
        <w:rPr>
          <w:rFonts w:hAnsi="宋体"/>
          <w:szCs w:val="21"/>
        </w:rPr>
        <w:t>袁家军：中国空间技术研究院院长、神舟五号总指挥</w:t>
      </w:r>
      <w:r>
        <w:rPr>
          <w:szCs w:val="21"/>
        </w:rPr>
        <w:t xml:space="preserve">  </w:t>
      </w:r>
      <w:r>
        <w:rPr>
          <w:rFonts w:hint="eastAsia" w:hAnsi="Courier New"/>
          <w:szCs w:val="21"/>
        </w:rPr>
        <w:t>李  忠</w:t>
      </w:r>
      <w:r>
        <w:rPr>
          <w:rFonts w:hAnsi="Courier New"/>
          <w:szCs w:val="21"/>
        </w:rPr>
        <w:t>：</w:t>
      </w:r>
      <w:r>
        <w:rPr>
          <w:rFonts w:hint="eastAsia" w:hAnsi="Courier New"/>
          <w:szCs w:val="21"/>
        </w:rPr>
        <w:t>河北省迁安市市委书记</w:t>
      </w:r>
    </w:p>
    <w:p>
      <w:pPr>
        <w:spacing w:line="320" w:lineRule="exact"/>
        <w:jc w:val="left"/>
        <w:rPr>
          <w:szCs w:val="21"/>
        </w:rPr>
      </w:pPr>
      <w:r>
        <w:rPr>
          <w:rFonts w:hint="eastAsia" w:hAnsi="宋体"/>
          <w:szCs w:val="21"/>
        </w:rPr>
        <w:t>舒新斌</w:t>
      </w:r>
      <w:r>
        <w:rPr>
          <w:rFonts w:hAnsi="宋体"/>
          <w:szCs w:val="21"/>
        </w:rPr>
        <w:t>：</w:t>
      </w:r>
      <w:r>
        <w:rPr>
          <w:rFonts w:hint="eastAsia" w:hAnsi="宋体"/>
          <w:szCs w:val="21"/>
        </w:rPr>
        <w:t>山东明源进出口有限公司董事长</w:t>
      </w:r>
      <w:r>
        <w:rPr>
          <w:szCs w:val="21"/>
        </w:rPr>
        <w:t xml:space="preserve">     </w:t>
      </w:r>
      <w:r>
        <w:rPr>
          <w:rFonts w:hint="eastAsia"/>
          <w:szCs w:val="21"/>
        </w:rPr>
        <w:t xml:space="preserve">      </w:t>
      </w:r>
      <w:r>
        <w:rPr>
          <w:szCs w:val="21"/>
        </w:rPr>
        <w:t xml:space="preserve"> </w:t>
      </w:r>
      <w:r>
        <w:rPr>
          <w:rFonts w:hint="eastAsia" w:hAnsi="宋体"/>
          <w:szCs w:val="21"/>
        </w:rPr>
        <w:t>李文斌</w:t>
      </w:r>
      <w:r>
        <w:rPr>
          <w:rFonts w:hAnsi="宋体"/>
          <w:szCs w:val="21"/>
        </w:rPr>
        <w:t>：</w:t>
      </w:r>
      <w:r>
        <w:rPr>
          <w:rFonts w:hint="eastAsia" w:hAnsi="宋体"/>
          <w:szCs w:val="21"/>
        </w:rPr>
        <w:t>山西环境保护厅处长</w:t>
      </w:r>
      <w:r>
        <w:rPr>
          <w:szCs w:val="21"/>
        </w:rPr>
        <w:t xml:space="preserve"> </w:t>
      </w:r>
    </w:p>
    <w:p>
      <w:pPr>
        <w:spacing w:line="320" w:lineRule="exact"/>
        <w:ind w:right="-359" w:rightChars="-171"/>
        <w:jc w:val="left"/>
        <w:rPr>
          <w:szCs w:val="21"/>
        </w:rPr>
      </w:pPr>
      <w:r>
        <w:rPr>
          <w:rFonts w:hAnsi="宋体"/>
          <w:szCs w:val="21"/>
        </w:rPr>
        <w:t>宋立军：北京市教委办副主任</w:t>
      </w:r>
      <w:r>
        <w:rPr>
          <w:szCs w:val="21"/>
        </w:rPr>
        <w:t xml:space="preserve">                      </w:t>
      </w:r>
      <w:r>
        <w:rPr>
          <w:rFonts w:hint="eastAsia" w:hAnsi="宋体"/>
          <w:szCs w:val="21"/>
        </w:rPr>
        <w:t>赵双文</w:t>
      </w:r>
      <w:r>
        <w:rPr>
          <w:rFonts w:hAnsi="宋体"/>
          <w:szCs w:val="21"/>
        </w:rPr>
        <w:t>：</w:t>
      </w:r>
      <w:r>
        <w:rPr>
          <w:rFonts w:hint="eastAsia" w:hAnsi="宋体"/>
          <w:szCs w:val="21"/>
        </w:rPr>
        <w:t>陕西省人力资源社会保障厅书记</w:t>
      </w:r>
    </w:p>
    <w:p>
      <w:pPr>
        <w:spacing w:line="320" w:lineRule="exact"/>
        <w:jc w:val="left"/>
        <w:rPr>
          <w:szCs w:val="21"/>
        </w:rPr>
      </w:pPr>
      <w:r>
        <w:rPr>
          <w:rFonts w:hAnsi="宋体"/>
          <w:szCs w:val="21"/>
        </w:rPr>
        <w:t>赵</w:t>
      </w:r>
      <w:r>
        <w:rPr>
          <w:szCs w:val="21"/>
        </w:rPr>
        <w:t xml:space="preserve">  </w:t>
      </w:r>
      <w:r>
        <w:rPr>
          <w:rFonts w:hAnsi="宋体"/>
          <w:szCs w:val="21"/>
        </w:rPr>
        <w:t>兵：中国航天科技集团计划部部长</w:t>
      </w:r>
      <w:r>
        <w:rPr>
          <w:szCs w:val="21"/>
        </w:rPr>
        <w:t xml:space="preserve">              </w:t>
      </w:r>
      <w:r>
        <w:rPr>
          <w:rFonts w:hAnsi="宋体"/>
          <w:szCs w:val="21"/>
        </w:rPr>
        <w:t>孙</w:t>
      </w:r>
      <w:r>
        <w:rPr>
          <w:szCs w:val="21"/>
        </w:rPr>
        <w:t xml:space="preserve">  </w:t>
      </w:r>
      <w:r>
        <w:rPr>
          <w:rFonts w:hAnsi="宋体"/>
          <w:szCs w:val="21"/>
        </w:rPr>
        <w:t>简：中国技术进出口总公司总经理</w:t>
      </w:r>
    </w:p>
    <w:p>
      <w:pPr>
        <w:spacing w:line="320" w:lineRule="exact"/>
        <w:jc w:val="left"/>
        <w:rPr>
          <w:color w:val="000000"/>
          <w:spacing w:val="-8"/>
          <w:kern w:val="0"/>
          <w:szCs w:val="21"/>
        </w:rPr>
      </w:pPr>
      <w:r>
        <w:rPr>
          <w:rFonts w:hAnsi="宋体"/>
          <w:szCs w:val="21"/>
        </w:rPr>
        <w:t>刘家明：中国石化工程建设公司总经理</w:t>
      </w:r>
      <w:r>
        <w:rPr>
          <w:szCs w:val="21"/>
        </w:rPr>
        <w:t xml:space="preserve">          </w:t>
      </w:r>
      <w:r>
        <w:rPr>
          <w:rFonts w:hint="eastAsia"/>
          <w:szCs w:val="21"/>
        </w:rPr>
        <w:t xml:space="preserve">    </w:t>
      </w:r>
      <w:r>
        <w:rPr>
          <w:rFonts w:hint="eastAsia" w:hAnsi="宋体"/>
          <w:spacing w:val="-8"/>
          <w:szCs w:val="21"/>
        </w:rPr>
        <w:t>杜   鹃</w:t>
      </w:r>
      <w:r>
        <w:rPr>
          <w:rFonts w:hAnsi="宋体"/>
          <w:spacing w:val="-8"/>
          <w:szCs w:val="21"/>
        </w:rPr>
        <w:t>：</w:t>
      </w:r>
      <w:r>
        <w:rPr>
          <w:rFonts w:hint="eastAsia" w:hAnsi="宋体"/>
          <w:spacing w:val="-8"/>
          <w:szCs w:val="21"/>
        </w:rPr>
        <w:t>加拿大实力国际有限公司</w:t>
      </w:r>
      <w:r>
        <w:rPr>
          <w:rFonts w:hAnsi="宋体"/>
          <w:spacing w:val="-8"/>
          <w:szCs w:val="21"/>
        </w:rPr>
        <w:t>董事长</w:t>
      </w:r>
    </w:p>
    <w:p>
      <w:pPr>
        <w:spacing w:line="320" w:lineRule="exact"/>
        <w:rPr>
          <w:b/>
          <w:szCs w:val="21"/>
        </w:rPr>
      </w:pPr>
      <w:r>
        <w:rPr>
          <w:rFonts w:hint="eastAsia" w:hAnsi="宋体"/>
          <w:szCs w:val="21"/>
        </w:rPr>
        <w:t>张彩云</w:t>
      </w:r>
      <w:r>
        <w:rPr>
          <w:rFonts w:hAnsi="宋体"/>
          <w:szCs w:val="21"/>
        </w:rPr>
        <w:t>：</w:t>
      </w:r>
      <w:r>
        <w:rPr>
          <w:rFonts w:hint="eastAsia" w:hAnsi="宋体"/>
          <w:szCs w:val="21"/>
        </w:rPr>
        <w:t xml:space="preserve">清华同方洁净技术有限公司 </w:t>
      </w:r>
      <w:r>
        <w:rPr>
          <w:szCs w:val="21"/>
        </w:rPr>
        <w:t xml:space="preserve">               </w:t>
      </w:r>
      <w:r>
        <w:rPr>
          <w:rFonts w:hAnsi="宋体"/>
          <w:szCs w:val="21"/>
        </w:rPr>
        <w:t>潘文超：中国台湾科技大学教授</w:t>
      </w:r>
      <w:r>
        <w:rPr>
          <w:b/>
          <w:szCs w:val="21"/>
        </w:rPr>
        <w:t>……</w:t>
      </w:r>
    </w:p>
    <w:p>
      <w:pPr>
        <w:spacing w:line="320" w:lineRule="exact"/>
        <w:rPr>
          <w:szCs w:val="21"/>
        </w:rPr>
      </w:pPr>
      <w:r>
        <w:rPr>
          <w:rFonts w:hint="eastAsia"/>
          <w:szCs w:val="21"/>
        </w:rPr>
        <w:t>陈苡筱</w:t>
      </w:r>
      <w:r>
        <w:rPr>
          <w:szCs w:val="21"/>
        </w:rPr>
        <w:t>：</w:t>
      </w:r>
      <w:r>
        <w:rPr>
          <w:rFonts w:hint="eastAsia"/>
          <w:szCs w:val="21"/>
        </w:rPr>
        <w:t xml:space="preserve">创维集团有限公司 </w:t>
      </w:r>
      <w:r>
        <w:rPr>
          <w:szCs w:val="21"/>
        </w:rPr>
        <w:t xml:space="preserve"> </w:t>
      </w:r>
      <w:r>
        <w:rPr>
          <w:rFonts w:hint="eastAsia"/>
          <w:szCs w:val="21"/>
        </w:rPr>
        <w:t>总经理</w:t>
      </w:r>
      <w:r>
        <w:rPr>
          <w:szCs w:val="21"/>
        </w:rPr>
        <w:t xml:space="preserve">             </w:t>
      </w:r>
      <w:r>
        <w:rPr>
          <w:rFonts w:hint="eastAsia"/>
          <w:szCs w:val="21"/>
        </w:rPr>
        <w:t xml:space="preserve">   </w:t>
      </w:r>
      <w:r>
        <w:rPr>
          <w:szCs w:val="21"/>
        </w:rPr>
        <w:t>徐亦斌：美国天合亚太公司中国区人力总监</w:t>
      </w:r>
    </w:p>
    <w:p>
      <w:pPr>
        <w:spacing w:line="320" w:lineRule="exact"/>
        <w:rPr>
          <w:color w:val="000000"/>
          <w:szCs w:val="21"/>
        </w:rPr>
      </w:pPr>
      <w:r>
        <w:rPr>
          <w:szCs w:val="21"/>
        </w:rPr>
        <w:t>刘  佳：英特尔（中国）公司客户经理              徐家宝：</w:t>
      </w:r>
      <w:r>
        <w:rPr>
          <w:color w:val="000000"/>
          <w:szCs w:val="21"/>
        </w:rPr>
        <w:t>威斯特国际贸易有限公司总经理</w:t>
      </w:r>
    </w:p>
    <w:p>
      <w:pPr>
        <w:spacing w:line="320" w:lineRule="exact"/>
        <w:rPr>
          <w:color w:val="000000"/>
          <w:szCs w:val="21"/>
        </w:rPr>
      </w:pPr>
      <w:r>
        <w:rPr>
          <w:rFonts w:hint="eastAsia" w:hAnsi="Arial"/>
          <w:color w:val="000000"/>
          <w:szCs w:val="21"/>
        </w:rPr>
        <w:t>郑  鑫</w:t>
      </w:r>
      <w:r>
        <w:rPr>
          <w:color w:val="000000"/>
          <w:szCs w:val="21"/>
        </w:rPr>
        <w:t>：</w:t>
      </w:r>
      <w:r>
        <w:rPr>
          <w:rFonts w:hint="eastAsia" w:hAnsi="Arial"/>
          <w:color w:val="000000"/>
          <w:szCs w:val="21"/>
        </w:rPr>
        <w:t>神华集团有限责任公司经理</w:t>
      </w:r>
      <w:r>
        <w:rPr>
          <w:color w:val="000000"/>
          <w:szCs w:val="21"/>
        </w:rPr>
        <w:t xml:space="preserve">         </w:t>
      </w:r>
      <w:r>
        <w:rPr>
          <w:rFonts w:hint="eastAsia"/>
          <w:color w:val="000000"/>
          <w:szCs w:val="21"/>
        </w:rPr>
        <w:t xml:space="preserve">      </w:t>
      </w:r>
      <w:r>
        <w:rPr>
          <w:color w:val="000000"/>
          <w:szCs w:val="21"/>
        </w:rPr>
        <w:t xml:space="preserve"> </w:t>
      </w:r>
      <w:r>
        <w:rPr>
          <w:rFonts w:hint="eastAsia" w:hAnsi="Arial"/>
          <w:color w:val="000000"/>
          <w:szCs w:val="21"/>
        </w:rPr>
        <w:t>张丙战</w:t>
      </w:r>
      <w:r>
        <w:rPr>
          <w:rFonts w:hAnsi="Arial"/>
          <w:color w:val="000000"/>
          <w:szCs w:val="21"/>
        </w:rPr>
        <w:t>：</w:t>
      </w:r>
      <w:r>
        <w:rPr>
          <w:rFonts w:hint="eastAsia"/>
          <w:color w:val="000000"/>
          <w:szCs w:val="21"/>
        </w:rPr>
        <w:t>山东省明水经济开发区财政局局长</w:t>
      </w:r>
    </w:p>
    <w:p>
      <w:pPr>
        <w:spacing w:line="480" w:lineRule="auto"/>
        <w:rPr>
          <w:rFonts w:eastAsia="黑体"/>
          <w:bCs/>
          <w:color w:val="000000"/>
          <w:sz w:val="24"/>
        </w:rPr>
      </w:pPr>
      <w:r>
        <w:rPr>
          <w:rFonts w:eastAsia="黑体"/>
          <w:bCs/>
          <w:color w:val="000000"/>
          <w:sz w:val="24"/>
        </w:rPr>
        <w:t>附录</w:t>
      </w:r>
      <w:r>
        <w:rPr>
          <w:rFonts w:hint="eastAsia" w:eastAsia="黑体"/>
          <w:bCs/>
          <w:color w:val="000000"/>
          <w:sz w:val="24"/>
        </w:rPr>
        <w:t>二</w:t>
      </w:r>
      <w:r>
        <w:rPr>
          <w:rFonts w:eastAsia="黑体"/>
          <w:bCs/>
          <w:color w:val="000000"/>
          <w:sz w:val="24"/>
        </w:rPr>
        <w:t>：权威媒体对UMT的评价</w:t>
      </w:r>
    </w:p>
    <w:p>
      <w:pPr>
        <w:spacing w:line="280" w:lineRule="exact"/>
        <w:rPr>
          <w:rFonts w:hint="eastAsia"/>
          <w:color w:val="000000"/>
          <w:szCs w:val="21"/>
        </w:rPr>
      </w:pPr>
      <w:r>
        <w:rPr>
          <w:color w:val="000000"/>
          <w:szCs w:val="21"/>
        </w:rPr>
        <w:t>“原清华大学副教务长陈智介绍，美国管理技术大学在美国以项目管理高学位教育及专业证书培训而著称，该校校长弗雷姆博士是举世闻名的项目管理专家”“为了与世界上最先进的管理教育接轨，填补中国管理教育领域的空白，为迎接加入WTO后国际间合作与竞争的挑战，帮助中国企业家 、经理人济身世界一流管理人行列，中关村……与美国管理技术大学决定从今年开始，在中国联合举办项目管理专业研究生课程班。</w:t>
      </w:r>
      <w:r>
        <w:rPr>
          <w:rFonts w:hint="eastAsia"/>
          <w:color w:val="000000"/>
          <w:szCs w:val="21"/>
        </w:rPr>
        <w:t xml:space="preserve">  </w:t>
      </w:r>
    </w:p>
    <w:p>
      <w:pPr>
        <w:spacing w:after="156" w:afterLines="50" w:line="280" w:lineRule="exact"/>
        <w:ind w:right="105"/>
        <w:jc w:val="right"/>
        <w:outlineLvl w:val="0"/>
        <w:rPr>
          <w:b/>
          <w:color w:val="000000"/>
          <w:szCs w:val="21"/>
        </w:rPr>
      </w:pPr>
      <w:r>
        <w:rPr>
          <w:rFonts w:hint="eastAsia"/>
          <w:color w:val="000000"/>
          <w:szCs w:val="21"/>
        </w:rPr>
        <w:t xml:space="preserve"> </w:t>
      </w:r>
      <w:r>
        <w:rPr>
          <w:b/>
          <w:color w:val="000000"/>
          <w:szCs w:val="21"/>
        </w:rPr>
        <w:t>——摘自光明日报2001年6月7日，2月15日文章</w:t>
      </w:r>
    </w:p>
    <w:sectPr>
      <w:headerReference r:id="rId3" w:type="default"/>
      <w:footerReference r:id="rId4" w:type="default"/>
      <w:footerReference r:id="rId5" w:type="even"/>
      <w:pgSz w:w="11906" w:h="16838"/>
      <w:pgMar w:top="1097" w:right="1133" w:bottom="993" w:left="1440" w:header="113" w:footer="39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长城行楷体">
    <w:altName w:val="宋体"/>
    <w:panose1 w:val="02010609000101010101"/>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right" w:y="1"/>
      <w:rPr>
        <w:rStyle w:val="11"/>
      </w:rPr>
    </w:pPr>
    <w:r>
      <w:fldChar w:fldCharType="begin"/>
    </w:r>
    <w:r>
      <w:rPr>
        <w:rStyle w:val="11"/>
      </w:rPr>
      <w:instrText xml:space="preserve">PAGE  </w:instrText>
    </w:r>
    <w:r>
      <w:fldChar w:fldCharType="separate"/>
    </w:r>
    <w:r>
      <w:rPr>
        <w:rStyle w:val="11"/>
      </w:rPr>
      <w:t>9</w:t>
    </w:r>
    <w:r>
      <w:fldChar w:fldCharType="end"/>
    </w:r>
  </w:p>
  <w:p>
    <w:pPr>
      <w:pStyle w:val="5"/>
      <w:tabs>
        <w:tab w:val="left" w:pos="3133"/>
        <w:tab w:val="clear" w:pos="4153"/>
        <w:tab w:val="clear" w:pos="8306"/>
      </w:tabs>
      <w:ind w:right="360"/>
      <w:jc w:val="center"/>
      <w:rPr>
        <w:rFonts w:ascii="宋体" w:hAnsi="宋体"/>
        <w:color w:val="FF0000"/>
        <w:sz w:val="24"/>
        <w:szCs w:val="21"/>
      </w:rPr>
    </w:pPr>
    <w:r>
      <w:rPr>
        <w:rFonts w:hint="eastAsia" w:ascii="宋体" w:hAnsi="宋体"/>
        <w:color w:val="FF0000"/>
        <w:sz w:val="24"/>
        <w:szCs w:val="21"/>
      </w:rPr>
      <w:t>手机：1</w:t>
    </w:r>
    <w:r>
      <w:rPr>
        <w:rFonts w:hint="eastAsia" w:ascii="宋体" w:hAnsi="宋体"/>
        <w:color w:val="FF0000"/>
        <w:sz w:val="24"/>
        <w:szCs w:val="21"/>
        <w:lang w:val="en-US" w:eastAsia="zh-CN"/>
      </w:rPr>
      <w:t>3521118358</w:t>
    </w:r>
    <w:r>
      <w:rPr>
        <w:rFonts w:hint="eastAsia" w:ascii="宋体" w:hAnsi="宋体"/>
        <w:color w:val="FF0000"/>
        <w:sz w:val="24"/>
        <w:szCs w:val="21"/>
      </w:rPr>
      <w:t xml:space="preserve">  座机：010-6</w:t>
    </w:r>
    <w:r>
      <w:rPr>
        <w:rFonts w:hint="eastAsia" w:ascii="宋体" w:hAnsi="宋体"/>
        <w:color w:val="FF0000"/>
        <w:sz w:val="24"/>
        <w:szCs w:val="21"/>
        <w:lang w:val="en-US" w:eastAsia="zh-CN"/>
      </w:rPr>
      <w:t>0531730</w:t>
    </w:r>
    <w:r>
      <w:rPr>
        <w:rFonts w:hint="eastAsia" w:ascii="宋体" w:hAnsi="宋体"/>
        <w:color w:val="FF0000"/>
        <w:sz w:val="24"/>
        <w:szCs w:val="21"/>
      </w:rPr>
      <w:t xml:space="preserve">  联系人：</w:t>
    </w:r>
    <w:r>
      <w:rPr>
        <w:rFonts w:hint="eastAsia" w:ascii="宋体" w:hAnsi="宋体"/>
        <w:color w:val="FF0000"/>
        <w:sz w:val="24"/>
        <w:szCs w:val="21"/>
        <w:lang w:eastAsia="zh-CN"/>
      </w:rPr>
      <w:t>韩</w:t>
    </w:r>
    <w:r>
      <w:rPr>
        <w:rFonts w:hint="eastAsia" w:ascii="宋体" w:hAnsi="宋体"/>
        <w:color w:val="FF0000"/>
        <w:sz w:val="24"/>
        <w:szCs w:val="21"/>
      </w:rPr>
      <w:t>老师</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right" w:y="1"/>
      <w:rPr>
        <w:rStyle w:val="11"/>
      </w:rPr>
    </w:pPr>
    <w:r>
      <w:fldChar w:fldCharType="begin"/>
    </w:r>
    <w:r>
      <w:rPr>
        <w:rStyle w:val="11"/>
      </w:rPr>
      <w:instrText xml:space="preserve">PAGE  </w:instrText>
    </w:r>
    <w:r>
      <w:fldChar w:fldCharType="end"/>
    </w:r>
  </w:p>
  <w:p>
    <w:pPr>
      <w:pStyle w:val="5"/>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both"/>
    </w:pPr>
    <w:r>
      <mc:AlternateContent>
        <mc:Choice Requires="wps">
          <w:drawing>
            <wp:anchor distT="0" distB="0" distL="114300" distR="114300" simplePos="0" relativeHeight="251659264" behindDoc="0" locked="0" layoutInCell="1" allowOverlap="1">
              <wp:simplePos x="0" y="0"/>
              <wp:positionH relativeFrom="column">
                <wp:posOffset>3190875</wp:posOffset>
              </wp:positionH>
              <wp:positionV relativeFrom="paragraph">
                <wp:posOffset>118745</wp:posOffset>
              </wp:positionV>
              <wp:extent cx="3305175" cy="740410"/>
              <wp:effectExtent l="0" t="0" r="0" b="0"/>
              <wp:wrapNone/>
              <wp:docPr id="33" name="文本框 1"/>
              <wp:cNvGraphicFramePr/>
              <a:graphic xmlns:a="http://schemas.openxmlformats.org/drawingml/2006/main">
                <a:graphicData uri="http://schemas.microsoft.com/office/word/2010/wordprocessingShape">
                  <wps:wsp>
                    <wps:cNvSpPr txBox="1"/>
                    <wps:spPr>
                      <a:xfrm>
                        <a:off x="0" y="0"/>
                        <a:ext cx="3305175" cy="740410"/>
                      </a:xfrm>
                      <a:prstGeom prst="rect">
                        <a:avLst/>
                      </a:prstGeom>
                      <a:noFill/>
                      <a:ln w="9525">
                        <a:noFill/>
                      </a:ln>
                    </wps:spPr>
                    <wps:txbx>
                      <w:txbxContent>
                        <w:p>
                          <w:pPr>
                            <w:ind w:firstLine="442" w:firstLineChars="100"/>
                            <w:rPr>
                              <w:rFonts w:ascii="长城行楷体" w:eastAsia="长城行楷体"/>
                              <w:b/>
                              <w:color w:val="7030A0"/>
                              <w:sz w:val="44"/>
                            </w:rPr>
                          </w:pPr>
                          <w:r>
                            <w:rPr>
                              <w:rFonts w:hint="eastAsia" w:ascii="长城行楷体" w:eastAsia="长城行楷体"/>
                              <w:b/>
                              <w:color w:val="7030A0"/>
                              <w:sz w:val="44"/>
                            </w:rPr>
                            <w:t>清华UMT教学中心</w:t>
                          </w:r>
                        </w:p>
                      </w:txbxContent>
                    </wps:txbx>
                    <wps:bodyPr wrap="square" upright="1"/>
                  </wps:wsp>
                </a:graphicData>
              </a:graphic>
            </wp:anchor>
          </w:drawing>
        </mc:Choice>
        <mc:Fallback>
          <w:pict>
            <v:shape id="文本框 1" o:spid="_x0000_s1026" o:spt="202" type="#_x0000_t202" style="position:absolute;left:0pt;margin-left:251.25pt;margin-top:9.35pt;height:58.3pt;width:260.25pt;z-index:251659264;mso-width-relative:page;mso-height-relative:page;" filled="f" stroked="f" coordsize="21600,21600" o:gfxdata="UEsDBAoAAAAAAIdO4kAAAAAAAAAAAAAAAAAEAAAAZHJzL1BLAwQUAAAACACHTuJA8mwXKdcAAAAL&#10;AQAADwAAAGRycy9kb3ducmV2LnhtbE2PwU7DMBBE70j9B2uRuFG7CYES4vRQxJWKApV6c+NtEhGv&#10;o9htwt93e4LbjuZpdqZYTa4TZxxC60nDYq5AIFXetlRr+Pp8u1+CCNGQNZ0n1PCLAVbl7KYwufUj&#10;feB5G2vBIRRyo6GJsc+lDFWDzoS575HYO/rBmchyqKUdzMjhrpOJUo/SmZb4Q2N6XDdY/WxPTsP3&#10;+3G/e1Cb+tVl/egnJck9S63vbhfqBUTEKf7BcK3P1aHkTgd/IhtEpyFTScYoG8snEFdAJSmvO/CV&#10;ZinIspD/N5QXUEsDBBQAAAAIAIdO4kDJc/RxpgEAABgDAAAOAAAAZHJzL2Uyb0RvYy54bWytUs1O&#10;GzEQvlfqO1i+N7ubkAKrOEgVohdEK9E+gOO1s5b817GT3bwAvEFPvfTe58pzMDYhILihXsb2/Hwz&#10;3zdeXIzWkK2EqL1jtJnUlEgnfKfdmtGfP64+nVESE3cdN95JRncy0ovlxw+LIbRy6ntvOgkEQVxs&#10;h8Bon1JoqyqKXloeJz5Ih0HlwfKET1hXHfAB0a2ppnX9uRo8dAG8kDGi9/IxSJcFXykp0jelokzE&#10;MIqzpWKh2FW21XLB2zXw0GtxGIO/YwrLtcOmR6hLnjjZgH4DZbUAH71KE+Ft5ZXSQhYOyKapX7G5&#10;7XmQhQuKE8NRpvj/YMXN9jsQ3TE6m1HiuMUd7X/f7//82/+9I03WZwixxbTbgIlp/OJH3POTP6Iz&#10;0x4V2HwiIYJxVHp3VFeOiQh0zmb1vDmdUyIwdnpSnzRF/uq5OkBMX6W3JF8YBdxeEZVvr2PCSTD1&#10;KSU3c/5KG1M2aBwZGD2fT+el4BjBCuOwMHN4nDXf0rgaD8RWvtshrwF/AKPx14aDpGQTQK97nKDw&#10;LMUof+l/+Cp5vy/fpcXzh14+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PJsFynXAAAACwEAAA8A&#10;AAAAAAAAAQAgAAAAIgAAAGRycy9kb3ducmV2LnhtbFBLAQIUABQAAAAIAIdO4kDJc/RxpgEAABgD&#10;AAAOAAAAAAAAAAEAIAAAACYBAABkcnMvZTJvRG9jLnhtbFBLBQYAAAAABgAGAFkBAAA+BQAAAAA=&#10;">
              <v:fill on="f" focussize="0,0"/>
              <v:stroke on="f"/>
              <v:imagedata o:title=""/>
              <o:lock v:ext="edit" aspectratio="f"/>
              <v:textbox>
                <w:txbxContent>
                  <w:p>
                    <w:pPr>
                      <w:ind w:firstLine="442" w:firstLineChars="100"/>
                      <w:rPr>
                        <w:rFonts w:ascii="长城行楷体" w:eastAsia="长城行楷体"/>
                        <w:b/>
                        <w:color w:val="7030A0"/>
                        <w:sz w:val="44"/>
                      </w:rPr>
                    </w:pPr>
                    <w:r>
                      <w:rPr>
                        <w:rFonts w:hint="eastAsia" w:ascii="长城行楷体" w:eastAsia="长城行楷体"/>
                        <w:b/>
                        <w:color w:val="7030A0"/>
                        <w:sz w:val="44"/>
                      </w:rPr>
                      <w:t>清华UMT教学中心</w:t>
                    </w:r>
                  </w:p>
                </w:txbxContent>
              </v:textbox>
            </v:shape>
          </w:pict>
        </mc:Fallback>
      </mc:AlternateContent>
    </w:r>
    <w:r>
      <w:drawing>
        <wp:anchor distT="0" distB="0" distL="114300" distR="114300" simplePos="0" relativeHeight="251658240" behindDoc="1" locked="0" layoutInCell="1" allowOverlap="1">
          <wp:simplePos x="0" y="0"/>
          <wp:positionH relativeFrom="column">
            <wp:posOffset>-981075</wp:posOffset>
          </wp:positionH>
          <wp:positionV relativeFrom="paragraph">
            <wp:posOffset>-400050</wp:posOffset>
          </wp:positionV>
          <wp:extent cx="7658100" cy="10858500"/>
          <wp:effectExtent l="9525" t="9525" r="9525" b="9525"/>
          <wp:wrapNone/>
          <wp:docPr id="32" name="图片 3" descr="umt电子版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descr="umt电子版背景"/>
                  <pic:cNvPicPr>
                    <a:picLocks noChangeAspect="1"/>
                  </pic:cNvPicPr>
                </pic:nvPicPr>
                <pic:blipFill>
                  <a:blip r:embed="rId1"/>
                  <a:stretch>
                    <a:fillRect/>
                  </a:stretch>
                </pic:blipFill>
                <pic:spPr>
                  <a:xfrm>
                    <a:off x="0" y="0"/>
                    <a:ext cx="7658100" cy="10858500"/>
                  </a:xfrm>
                  <a:prstGeom prst="rect">
                    <a:avLst/>
                  </a:prstGeom>
                  <a:solidFill>
                    <a:srgbClr val="FFFFFF"/>
                  </a:solidFill>
                  <a:ln w="9525" cap="flat" cmpd="sng">
                    <a:solidFill>
                      <a:srgbClr val="FFFFFF"/>
                    </a:solidFill>
                    <a:prstDash val="solid"/>
                    <a:miter/>
                    <a:headEnd type="none" w="med" len="med"/>
                    <a:tailEnd type="none" w="med" len="me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286046"/>
    <w:multiLevelType w:val="multilevel"/>
    <w:tmpl w:val="2028604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5897CF18"/>
    <w:multiLevelType w:val="singleLevel"/>
    <w:tmpl w:val="5897CF18"/>
    <w:lvl w:ilvl="0" w:tentative="0">
      <w:start w:val="8"/>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6"/>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275"/>
    <w:rsid w:val="00002EC0"/>
    <w:rsid w:val="00003C6D"/>
    <w:rsid w:val="00005F3A"/>
    <w:rsid w:val="000206D3"/>
    <w:rsid w:val="00021DD3"/>
    <w:rsid w:val="00031B03"/>
    <w:rsid w:val="00045145"/>
    <w:rsid w:val="000516E0"/>
    <w:rsid w:val="00055F7B"/>
    <w:rsid w:val="00062536"/>
    <w:rsid w:val="00065ADC"/>
    <w:rsid w:val="0007211D"/>
    <w:rsid w:val="00077034"/>
    <w:rsid w:val="00084053"/>
    <w:rsid w:val="00084AF3"/>
    <w:rsid w:val="00087914"/>
    <w:rsid w:val="00090B9A"/>
    <w:rsid w:val="000A09CD"/>
    <w:rsid w:val="000A4BC0"/>
    <w:rsid w:val="000A627D"/>
    <w:rsid w:val="000B0457"/>
    <w:rsid w:val="000C3146"/>
    <w:rsid w:val="000E3EB8"/>
    <w:rsid w:val="000E4E7C"/>
    <w:rsid w:val="000F101F"/>
    <w:rsid w:val="0010137A"/>
    <w:rsid w:val="00102ACA"/>
    <w:rsid w:val="001031F0"/>
    <w:rsid w:val="00104C48"/>
    <w:rsid w:val="00111D61"/>
    <w:rsid w:val="00115E4F"/>
    <w:rsid w:val="00117903"/>
    <w:rsid w:val="00120D90"/>
    <w:rsid w:val="0013361F"/>
    <w:rsid w:val="0015347C"/>
    <w:rsid w:val="00166D0A"/>
    <w:rsid w:val="00174C01"/>
    <w:rsid w:val="00186798"/>
    <w:rsid w:val="001A2C64"/>
    <w:rsid w:val="001A69B8"/>
    <w:rsid w:val="001B6333"/>
    <w:rsid w:val="001D0572"/>
    <w:rsid w:val="001D0CD7"/>
    <w:rsid w:val="001D2337"/>
    <w:rsid w:val="001E3B11"/>
    <w:rsid w:val="001E5C01"/>
    <w:rsid w:val="002022B4"/>
    <w:rsid w:val="002041CD"/>
    <w:rsid w:val="002054F1"/>
    <w:rsid w:val="0021211F"/>
    <w:rsid w:val="00217720"/>
    <w:rsid w:val="00221FCC"/>
    <w:rsid w:val="002467E9"/>
    <w:rsid w:val="0025266B"/>
    <w:rsid w:val="002633B1"/>
    <w:rsid w:val="00265717"/>
    <w:rsid w:val="00275DD9"/>
    <w:rsid w:val="002861E8"/>
    <w:rsid w:val="002A1458"/>
    <w:rsid w:val="002A4D05"/>
    <w:rsid w:val="002B12BC"/>
    <w:rsid w:val="002B1B75"/>
    <w:rsid w:val="002B1CAB"/>
    <w:rsid w:val="002B219B"/>
    <w:rsid w:val="002B4740"/>
    <w:rsid w:val="002B7654"/>
    <w:rsid w:val="002C0E0D"/>
    <w:rsid w:val="002C4A3C"/>
    <w:rsid w:val="002C5B0A"/>
    <w:rsid w:val="002D655D"/>
    <w:rsid w:val="002E5527"/>
    <w:rsid w:val="00307650"/>
    <w:rsid w:val="00310D70"/>
    <w:rsid w:val="00312ABC"/>
    <w:rsid w:val="00317BE2"/>
    <w:rsid w:val="0032027A"/>
    <w:rsid w:val="00321119"/>
    <w:rsid w:val="003378AA"/>
    <w:rsid w:val="00351911"/>
    <w:rsid w:val="00357A49"/>
    <w:rsid w:val="0036342C"/>
    <w:rsid w:val="00365F61"/>
    <w:rsid w:val="00367018"/>
    <w:rsid w:val="00381E37"/>
    <w:rsid w:val="003A00E6"/>
    <w:rsid w:val="003A4C24"/>
    <w:rsid w:val="003A7D10"/>
    <w:rsid w:val="003C440B"/>
    <w:rsid w:val="003C674E"/>
    <w:rsid w:val="003C6AA1"/>
    <w:rsid w:val="003D1456"/>
    <w:rsid w:val="003D5B46"/>
    <w:rsid w:val="003E562C"/>
    <w:rsid w:val="003E66E1"/>
    <w:rsid w:val="003F121B"/>
    <w:rsid w:val="003F28ED"/>
    <w:rsid w:val="003F39BD"/>
    <w:rsid w:val="003F52CA"/>
    <w:rsid w:val="003F6E73"/>
    <w:rsid w:val="00400448"/>
    <w:rsid w:val="00420B31"/>
    <w:rsid w:val="00425D19"/>
    <w:rsid w:val="0044167B"/>
    <w:rsid w:val="0046019E"/>
    <w:rsid w:val="00462775"/>
    <w:rsid w:val="00471244"/>
    <w:rsid w:val="004726F2"/>
    <w:rsid w:val="00476AE0"/>
    <w:rsid w:val="00480B62"/>
    <w:rsid w:val="00491B12"/>
    <w:rsid w:val="00491BFA"/>
    <w:rsid w:val="004A0BD8"/>
    <w:rsid w:val="004A3CDF"/>
    <w:rsid w:val="004B776C"/>
    <w:rsid w:val="004E080C"/>
    <w:rsid w:val="004F2813"/>
    <w:rsid w:val="004F6A8C"/>
    <w:rsid w:val="005034C3"/>
    <w:rsid w:val="00514B8C"/>
    <w:rsid w:val="00532986"/>
    <w:rsid w:val="0053706C"/>
    <w:rsid w:val="0053718E"/>
    <w:rsid w:val="00543F39"/>
    <w:rsid w:val="00544A6A"/>
    <w:rsid w:val="00555AFB"/>
    <w:rsid w:val="005654CF"/>
    <w:rsid w:val="00567680"/>
    <w:rsid w:val="00573642"/>
    <w:rsid w:val="005829E6"/>
    <w:rsid w:val="00587FDE"/>
    <w:rsid w:val="005A45CF"/>
    <w:rsid w:val="005B365D"/>
    <w:rsid w:val="005B79B3"/>
    <w:rsid w:val="005C07E0"/>
    <w:rsid w:val="005C2760"/>
    <w:rsid w:val="005C30C9"/>
    <w:rsid w:val="005C76CB"/>
    <w:rsid w:val="005D10F1"/>
    <w:rsid w:val="005D70A9"/>
    <w:rsid w:val="005E30DB"/>
    <w:rsid w:val="005E4D58"/>
    <w:rsid w:val="005E625A"/>
    <w:rsid w:val="005F48FB"/>
    <w:rsid w:val="005F5FFE"/>
    <w:rsid w:val="005F6FB8"/>
    <w:rsid w:val="006003C2"/>
    <w:rsid w:val="00625AC0"/>
    <w:rsid w:val="00627B83"/>
    <w:rsid w:val="00630D2C"/>
    <w:rsid w:val="0064701B"/>
    <w:rsid w:val="006527AE"/>
    <w:rsid w:val="00662EC2"/>
    <w:rsid w:val="006661F3"/>
    <w:rsid w:val="0067249B"/>
    <w:rsid w:val="006753A0"/>
    <w:rsid w:val="00680B1B"/>
    <w:rsid w:val="00686470"/>
    <w:rsid w:val="00687D91"/>
    <w:rsid w:val="0069010F"/>
    <w:rsid w:val="00690956"/>
    <w:rsid w:val="00696301"/>
    <w:rsid w:val="006A0A1E"/>
    <w:rsid w:val="006A23A8"/>
    <w:rsid w:val="006A38FF"/>
    <w:rsid w:val="006B3C97"/>
    <w:rsid w:val="006C0A06"/>
    <w:rsid w:val="006C0FE7"/>
    <w:rsid w:val="006C176C"/>
    <w:rsid w:val="006C2C6D"/>
    <w:rsid w:val="006C3E93"/>
    <w:rsid w:val="006D454E"/>
    <w:rsid w:val="006E2160"/>
    <w:rsid w:val="006E25C9"/>
    <w:rsid w:val="006F4174"/>
    <w:rsid w:val="006F4A1B"/>
    <w:rsid w:val="007122B0"/>
    <w:rsid w:val="00713A87"/>
    <w:rsid w:val="00717B22"/>
    <w:rsid w:val="00722395"/>
    <w:rsid w:val="00726779"/>
    <w:rsid w:val="007279CB"/>
    <w:rsid w:val="00743412"/>
    <w:rsid w:val="00746652"/>
    <w:rsid w:val="007472D8"/>
    <w:rsid w:val="00752FCA"/>
    <w:rsid w:val="00781841"/>
    <w:rsid w:val="00781B38"/>
    <w:rsid w:val="007829C8"/>
    <w:rsid w:val="00783FCC"/>
    <w:rsid w:val="00785083"/>
    <w:rsid w:val="007920DC"/>
    <w:rsid w:val="00795667"/>
    <w:rsid w:val="007A0010"/>
    <w:rsid w:val="007B1362"/>
    <w:rsid w:val="007C3A34"/>
    <w:rsid w:val="007C57C4"/>
    <w:rsid w:val="007D045E"/>
    <w:rsid w:val="007D1584"/>
    <w:rsid w:val="007D1EE6"/>
    <w:rsid w:val="007E3F08"/>
    <w:rsid w:val="0080374D"/>
    <w:rsid w:val="008037DD"/>
    <w:rsid w:val="00805D3F"/>
    <w:rsid w:val="008111E7"/>
    <w:rsid w:val="008234B9"/>
    <w:rsid w:val="00823E39"/>
    <w:rsid w:val="00835470"/>
    <w:rsid w:val="008364EF"/>
    <w:rsid w:val="00840535"/>
    <w:rsid w:val="0084196B"/>
    <w:rsid w:val="00842F26"/>
    <w:rsid w:val="00856894"/>
    <w:rsid w:val="008626E3"/>
    <w:rsid w:val="00863440"/>
    <w:rsid w:val="00866890"/>
    <w:rsid w:val="00867455"/>
    <w:rsid w:val="00867B5C"/>
    <w:rsid w:val="00882E7B"/>
    <w:rsid w:val="00893462"/>
    <w:rsid w:val="00895840"/>
    <w:rsid w:val="008965B9"/>
    <w:rsid w:val="008B1682"/>
    <w:rsid w:val="008B2B4F"/>
    <w:rsid w:val="008B7EF7"/>
    <w:rsid w:val="008C022B"/>
    <w:rsid w:val="008C0870"/>
    <w:rsid w:val="008C220E"/>
    <w:rsid w:val="008C570B"/>
    <w:rsid w:val="008C5CAC"/>
    <w:rsid w:val="008C7ACE"/>
    <w:rsid w:val="008D091F"/>
    <w:rsid w:val="008D363C"/>
    <w:rsid w:val="008D467B"/>
    <w:rsid w:val="008E4F8E"/>
    <w:rsid w:val="008F6538"/>
    <w:rsid w:val="00903071"/>
    <w:rsid w:val="0091052E"/>
    <w:rsid w:val="009140C2"/>
    <w:rsid w:val="00914BF7"/>
    <w:rsid w:val="009226D7"/>
    <w:rsid w:val="00923F5E"/>
    <w:rsid w:val="009358B3"/>
    <w:rsid w:val="00951DF9"/>
    <w:rsid w:val="009526BD"/>
    <w:rsid w:val="0095466C"/>
    <w:rsid w:val="009656E7"/>
    <w:rsid w:val="009818E1"/>
    <w:rsid w:val="009875FE"/>
    <w:rsid w:val="009957FA"/>
    <w:rsid w:val="009B4D71"/>
    <w:rsid w:val="009B763A"/>
    <w:rsid w:val="009C753D"/>
    <w:rsid w:val="009E70C0"/>
    <w:rsid w:val="009F5530"/>
    <w:rsid w:val="00A076D1"/>
    <w:rsid w:val="00A17B6E"/>
    <w:rsid w:val="00A27350"/>
    <w:rsid w:val="00A32681"/>
    <w:rsid w:val="00A32772"/>
    <w:rsid w:val="00A36275"/>
    <w:rsid w:val="00A363E7"/>
    <w:rsid w:val="00A40F3F"/>
    <w:rsid w:val="00A46E1A"/>
    <w:rsid w:val="00A730B8"/>
    <w:rsid w:val="00A742D9"/>
    <w:rsid w:val="00A76795"/>
    <w:rsid w:val="00A77E5D"/>
    <w:rsid w:val="00A87488"/>
    <w:rsid w:val="00A90078"/>
    <w:rsid w:val="00A95092"/>
    <w:rsid w:val="00AA55DA"/>
    <w:rsid w:val="00AB24EA"/>
    <w:rsid w:val="00AC020A"/>
    <w:rsid w:val="00AC1C6C"/>
    <w:rsid w:val="00AC3AA5"/>
    <w:rsid w:val="00AD290B"/>
    <w:rsid w:val="00AF584E"/>
    <w:rsid w:val="00B069AB"/>
    <w:rsid w:val="00B14242"/>
    <w:rsid w:val="00B2028A"/>
    <w:rsid w:val="00B22707"/>
    <w:rsid w:val="00B52F69"/>
    <w:rsid w:val="00B56041"/>
    <w:rsid w:val="00B816B9"/>
    <w:rsid w:val="00B82F83"/>
    <w:rsid w:val="00BA6066"/>
    <w:rsid w:val="00BC0AB8"/>
    <w:rsid w:val="00BC23A7"/>
    <w:rsid w:val="00BD2B82"/>
    <w:rsid w:val="00BE2DBD"/>
    <w:rsid w:val="00BE7802"/>
    <w:rsid w:val="00BF7C2B"/>
    <w:rsid w:val="00C03923"/>
    <w:rsid w:val="00C1578D"/>
    <w:rsid w:val="00C15BFE"/>
    <w:rsid w:val="00C20583"/>
    <w:rsid w:val="00C43E1E"/>
    <w:rsid w:val="00C5666E"/>
    <w:rsid w:val="00C62FA2"/>
    <w:rsid w:val="00C73350"/>
    <w:rsid w:val="00C7385C"/>
    <w:rsid w:val="00C81742"/>
    <w:rsid w:val="00C90219"/>
    <w:rsid w:val="00C90DEF"/>
    <w:rsid w:val="00CA31DC"/>
    <w:rsid w:val="00CA4771"/>
    <w:rsid w:val="00CA72F0"/>
    <w:rsid w:val="00CA7AEA"/>
    <w:rsid w:val="00CC22A2"/>
    <w:rsid w:val="00CC3809"/>
    <w:rsid w:val="00CE23EA"/>
    <w:rsid w:val="00CE5B2F"/>
    <w:rsid w:val="00CE6311"/>
    <w:rsid w:val="00CF2C89"/>
    <w:rsid w:val="00CF4F80"/>
    <w:rsid w:val="00CF6A61"/>
    <w:rsid w:val="00D02881"/>
    <w:rsid w:val="00D12D41"/>
    <w:rsid w:val="00D16CBB"/>
    <w:rsid w:val="00D317C9"/>
    <w:rsid w:val="00D3732B"/>
    <w:rsid w:val="00D45764"/>
    <w:rsid w:val="00D457B6"/>
    <w:rsid w:val="00D4592D"/>
    <w:rsid w:val="00D51B46"/>
    <w:rsid w:val="00D52CE7"/>
    <w:rsid w:val="00D62848"/>
    <w:rsid w:val="00D62FA6"/>
    <w:rsid w:val="00D654AA"/>
    <w:rsid w:val="00D77AEE"/>
    <w:rsid w:val="00D84CBF"/>
    <w:rsid w:val="00D91909"/>
    <w:rsid w:val="00DB7E1C"/>
    <w:rsid w:val="00DC0DDF"/>
    <w:rsid w:val="00DC200D"/>
    <w:rsid w:val="00DD3B88"/>
    <w:rsid w:val="00DE38E6"/>
    <w:rsid w:val="00DF5072"/>
    <w:rsid w:val="00DF7332"/>
    <w:rsid w:val="00E0463B"/>
    <w:rsid w:val="00E11171"/>
    <w:rsid w:val="00E1562B"/>
    <w:rsid w:val="00E23FE5"/>
    <w:rsid w:val="00E549BE"/>
    <w:rsid w:val="00E559C9"/>
    <w:rsid w:val="00E76D40"/>
    <w:rsid w:val="00E82AB6"/>
    <w:rsid w:val="00E8393A"/>
    <w:rsid w:val="00E86288"/>
    <w:rsid w:val="00E921A4"/>
    <w:rsid w:val="00E93F0E"/>
    <w:rsid w:val="00EA45FF"/>
    <w:rsid w:val="00EB1EFD"/>
    <w:rsid w:val="00EC5973"/>
    <w:rsid w:val="00EC602D"/>
    <w:rsid w:val="00ED1D74"/>
    <w:rsid w:val="00EE1D03"/>
    <w:rsid w:val="00EE2BED"/>
    <w:rsid w:val="00EE341C"/>
    <w:rsid w:val="00EE4124"/>
    <w:rsid w:val="00EE4D08"/>
    <w:rsid w:val="00EF5815"/>
    <w:rsid w:val="00EF76DD"/>
    <w:rsid w:val="00F029AA"/>
    <w:rsid w:val="00F1025E"/>
    <w:rsid w:val="00F35A1B"/>
    <w:rsid w:val="00F361E8"/>
    <w:rsid w:val="00F46444"/>
    <w:rsid w:val="00F472C2"/>
    <w:rsid w:val="00F5104A"/>
    <w:rsid w:val="00F5306B"/>
    <w:rsid w:val="00F5335E"/>
    <w:rsid w:val="00F5426A"/>
    <w:rsid w:val="00F54BE2"/>
    <w:rsid w:val="00F56FAA"/>
    <w:rsid w:val="00F615EF"/>
    <w:rsid w:val="00F70BF3"/>
    <w:rsid w:val="00F746FD"/>
    <w:rsid w:val="00F74B58"/>
    <w:rsid w:val="00F770D3"/>
    <w:rsid w:val="00F968EB"/>
    <w:rsid w:val="00FB0F72"/>
    <w:rsid w:val="00FC6BB3"/>
    <w:rsid w:val="00FC7735"/>
    <w:rsid w:val="00FD2153"/>
    <w:rsid w:val="00FD33D9"/>
    <w:rsid w:val="00FD6B96"/>
    <w:rsid w:val="00FE0694"/>
    <w:rsid w:val="00FE6C14"/>
    <w:rsid w:val="00FF4420"/>
    <w:rsid w:val="0A515263"/>
    <w:rsid w:val="12C10BEF"/>
    <w:rsid w:val="12C17AB9"/>
    <w:rsid w:val="1B5E21DB"/>
    <w:rsid w:val="1CDC34F0"/>
    <w:rsid w:val="27DD2C34"/>
    <w:rsid w:val="326339C2"/>
    <w:rsid w:val="3A2E5844"/>
    <w:rsid w:val="42340692"/>
    <w:rsid w:val="57F32069"/>
    <w:rsid w:val="58BC3D3E"/>
    <w:rsid w:val="5E2C5833"/>
    <w:rsid w:val="606749BD"/>
    <w:rsid w:val="69771DD4"/>
    <w:rsid w:val="7A5B7B0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1"/>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link w:val="20"/>
    <w:qFormat/>
    <w:uiPriority w:val="0"/>
    <w:pPr>
      <w:keepNext/>
      <w:keepLines/>
      <w:spacing w:before="260" w:after="260" w:line="415" w:lineRule="auto"/>
      <w:outlineLvl w:val="1"/>
    </w:pPr>
    <w:rPr>
      <w:rFonts w:ascii="Arial" w:hAnsi="Arial" w:eastAsia="黑体"/>
      <w:b/>
      <w:bCs/>
      <w:sz w:val="32"/>
      <w:szCs w:val="32"/>
    </w:rPr>
  </w:style>
  <w:style w:type="character" w:default="1" w:styleId="9">
    <w:name w:val="Default Paragraph Font"/>
    <w:unhideWhenUsed/>
    <w:qFormat/>
    <w:uiPriority w:val="1"/>
  </w:style>
  <w:style w:type="table" w:default="1" w:styleId="13">
    <w:name w:val="Normal Table"/>
    <w:unhideWhenUsed/>
    <w:qFormat/>
    <w:uiPriority w:val="99"/>
    <w:tblPr>
      <w:tblLayout w:type="fixed"/>
      <w:tblCellMar>
        <w:top w:w="0" w:type="dxa"/>
        <w:left w:w="108" w:type="dxa"/>
        <w:bottom w:w="0" w:type="dxa"/>
        <w:right w:w="108" w:type="dxa"/>
      </w:tblCellMar>
    </w:tblPr>
  </w:style>
  <w:style w:type="paragraph" w:styleId="3">
    <w:name w:val="Plain Text"/>
    <w:basedOn w:val="1"/>
    <w:uiPriority w:val="0"/>
    <w:rPr>
      <w:rFonts w:ascii="宋体" w:hAnsi="Courier New" w:cs="Courier New"/>
      <w:szCs w:val="21"/>
    </w:rPr>
  </w:style>
  <w:style w:type="paragraph" w:styleId="4">
    <w:name w:val="Balloon Text"/>
    <w:basedOn w:val="1"/>
    <w:link w:val="16"/>
    <w:qFormat/>
    <w:uiPriority w:val="0"/>
    <w:rPr>
      <w:sz w:val="18"/>
      <w:szCs w:val="18"/>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uiPriority w:val="99"/>
    <w:pPr>
      <w:widowControl/>
      <w:spacing w:before="100" w:beforeAutospacing="1" w:after="100" w:afterAutospacing="1"/>
      <w:jc w:val="left"/>
    </w:pPr>
    <w:rPr>
      <w:rFonts w:ascii="宋体" w:hAnsi="宋体" w:cs="宋体"/>
      <w:kern w:val="0"/>
      <w:sz w:val="24"/>
    </w:rPr>
  </w:style>
  <w:style w:type="paragraph" w:styleId="8">
    <w:name w:val="Title"/>
    <w:basedOn w:val="1"/>
    <w:next w:val="1"/>
    <w:link w:val="21"/>
    <w:qFormat/>
    <w:uiPriority w:val="0"/>
    <w:pPr>
      <w:spacing w:before="240" w:after="60"/>
      <w:jc w:val="center"/>
      <w:outlineLvl w:val="0"/>
    </w:pPr>
    <w:rPr>
      <w:rFonts w:ascii="Cambria" w:hAnsi="Cambria"/>
      <w:b/>
      <w:bCs/>
      <w:sz w:val="32"/>
      <w:szCs w:val="32"/>
    </w:rPr>
  </w:style>
  <w:style w:type="character" w:styleId="10">
    <w:name w:val="Strong"/>
    <w:basedOn w:val="9"/>
    <w:qFormat/>
    <w:uiPriority w:val="22"/>
    <w:rPr>
      <w:b/>
      <w:bCs/>
    </w:rPr>
  </w:style>
  <w:style w:type="character" w:styleId="11">
    <w:name w:val="page number"/>
    <w:basedOn w:val="9"/>
    <w:qFormat/>
    <w:uiPriority w:val="0"/>
  </w:style>
  <w:style w:type="character" w:styleId="12">
    <w:name w:val="Hyperlink"/>
    <w:basedOn w:val="9"/>
    <w:qFormat/>
    <w:uiPriority w:val="0"/>
    <w:rPr>
      <w:color w:val="0000FF"/>
      <w:u w:val="single"/>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5">
    <w:name w:val="_Style 14"/>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16">
    <w:name w:val="批注框文本 Char"/>
    <w:basedOn w:val="9"/>
    <w:link w:val="4"/>
    <w:uiPriority w:val="0"/>
    <w:rPr>
      <w:kern w:val="2"/>
      <w:sz w:val="18"/>
      <w:szCs w:val="18"/>
    </w:rPr>
  </w:style>
  <w:style w:type="character" w:customStyle="1" w:styleId="17">
    <w:name w:val="html_tag1"/>
    <w:basedOn w:val="9"/>
    <w:qFormat/>
    <w:uiPriority w:val="0"/>
    <w:rPr>
      <w:color w:val="0000FF"/>
    </w:rPr>
  </w:style>
  <w:style w:type="character" w:customStyle="1" w:styleId="18">
    <w:name w:val="html_txt1"/>
    <w:basedOn w:val="9"/>
    <w:uiPriority w:val="0"/>
    <w:rPr>
      <w:color w:val="000000"/>
    </w:rPr>
  </w:style>
  <w:style w:type="character" w:customStyle="1" w:styleId="19">
    <w:name w:val="html_cha1"/>
    <w:basedOn w:val="9"/>
    <w:qFormat/>
    <w:uiPriority w:val="0"/>
    <w:rPr>
      <w:color w:val="FF0000"/>
    </w:rPr>
  </w:style>
  <w:style w:type="character" w:customStyle="1" w:styleId="20">
    <w:name w:val="标题 2 Char"/>
    <w:basedOn w:val="9"/>
    <w:link w:val="2"/>
    <w:locked/>
    <w:uiPriority w:val="0"/>
    <w:rPr>
      <w:rFonts w:ascii="Arial" w:hAnsi="Arial" w:eastAsia="黑体"/>
      <w:b/>
      <w:bCs/>
      <w:kern w:val="2"/>
      <w:sz w:val="32"/>
      <w:szCs w:val="32"/>
      <w:lang w:val="en-US" w:eastAsia="zh-CN" w:bidi="ar-SA"/>
    </w:rPr>
  </w:style>
  <w:style w:type="character" w:customStyle="1" w:styleId="21">
    <w:name w:val="标题 Char"/>
    <w:basedOn w:val="9"/>
    <w:link w:val="8"/>
    <w:uiPriority w:val="0"/>
    <w:rPr>
      <w:rFonts w:ascii="Cambria" w:hAnsi="Cambria" w:cs="Times New Roman"/>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4.png"/><Relationship Id="rId31" Type="http://schemas.openxmlformats.org/officeDocument/2006/relationships/image" Target="media/image23.jpe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pn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http://imgsrc.baidu.com/baike/abpic/item/a992e31f7c0ef534304e15dd.jpg" TargetMode="External"/><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hyperlink" Target="http://baike.baidu.com/image/a992e31f7c0ef534304e15dd" TargetMode="External"/><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http://imgsrc.baidu.com/baike/abpic/item/ac0acf132c04f8295baf5304.jpg" TargetMode="Externa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1124</Words>
  <Characters>6407</Characters>
  <Lines>53</Lines>
  <Paragraphs>15</Paragraphs>
  <ScaleCrop>false</ScaleCrop>
  <LinksUpToDate>false</LinksUpToDate>
  <CharactersWithSpaces>7516</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2013-01-31T04:36:00Z</dcterms:created>
  <dc:creator>X</dc:creator>
  <cp:lastModifiedBy>Administrator</cp:lastModifiedBy>
  <cp:lastPrinted>2016-01-31T08:57:00Z</cp:lastPrinted>
  <dcterms:modified xsi:type="dcterms:W3CDTF">2018-05-03T04:13:18Z</dcterms:modified>
  <dc:title>——项目管理在美国及全球名列前茅的大学</dc:title>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