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黑简体" w:hAnsi="方正大黑简体" w:eastAsia="方正大黑简体" w:cs="方正大黑简体"/>
          <w:b/>
          <w:bCs/>
          <w:i w:val="0"/>
          <w:iCs w:val="0"/>
          <w:color w:val="7030A0"/>
          <w:sz w:val="32"/>
          <w:szCs w:val="32"/>
          <w:lang w:val="en-US" w:eastAsia="zh-CN"/>
        </w:rPr>
      </w:pPr>
      <w:r>
        <w:rPr>
          <w:rFonts w:hint="eastAsia" w:ascii="黑体" w:eastAsia="黑体" w:cs="黑体"/>
          <w:b/>
          <w:bCs/>
          <w:color w:val="000000" w:themeColor="text1"/>
          <w:sz w:val="44"/>
          <w:szCs w:val="44"/>
          <w:lang w:val="en-US" w:eastAsia="zh-CN"/>
          <w14:textFill>
            <w14:solidFill>
              <w14:schemeClr w14:val="tx1"/>
            </w14:solidFill>
          </w14:textFill>
        </w:rPr>
        <w:t>新时代中国企业财务全面管理实战研修班</w:t>
      </w:r>
      <w:r>
        <w:rPr>
          <w:rFonts w:hint="eastAsia" w:ascii="方正大黑简体" w:hAnsi="方正大黑简体" w:eastAsia="方正大黑简体" w:cs="方正大黑简体"/>
          <w:b/>
          <w:bCs/>
          <w:i w:val="0"/>
          <w:iCs w:val="0"/>
          <w:color w:val="7030A0"/>
          <w:sz w:val="32"/>
          <w:szCs w:val="32"/>
          <w:lang w:val="en-US" w:eastAsia="zh-CN"/>
        </w:rPr>
        <w:t xml:space="preserve"> </w:t>
      </w:r>
    </w:p>
    <w:p>
      <w:pPr>
        <w:rPr>
          <w:b/>
          <w:bCs/>
          <w:i w:val="0"/>
          <w:iCs w:val="0"/>
          <w:color w:val="7030A0"/>
          <w:sz w:val="32"/>
          <w:szCs w:val="32"/>
        </w:rPr>
      </w:pPr>
      <w:r>
        <w:rPr>
          <w:rFonts w:hint="eastAsia" w:ascii="方正大黑简体" w:hAnsi="方正大黑简体" w:eastAsia="方正大黑简体" w:cs="方正大黑简体"/>
          <w:b/>
          <w:bCs/>
          <w:i w:val="0"/>
          <w:iCs w:val="0"/>
          <w:color w:val="7030A0"/>
          <w:sz w:val="32"/>
          <w:szCs w:val="32"/>
          <w:lang w:eastAsia="zh-CN"/>
        </w:rPr>
        <w:t>【</w:t>
      </w:r>
      <w:r>
        <w:rPr>
          <w:rFonts w:hint="eastAsia" w:ascii="方正大黑简体" w:hAnsi="方正大黑简体" w:eastAsia="方正大黑简体" w:cs="方正大黑简体"/>
          <w:b/>
          <w:bCs/>
          <w:i w:val="0"/>
          <w:iCs w:val="0"/>
          <w:color w:val="7030A0"/>
          <w:sz w:val="32"/>
          <w:szCs w:val="32"/>
        </w:rPr>
        <w:t>项目背景</w:t>
      </w:r>
      <w:r>
        <w:rPr>
          <w:rFonts w:hint="eastAsia" w:ascii="方正大黑简体" w:hAnsi="方正大黑简体" w:eastAsia="方正大黑简体" w:cs="方正大黑简体"/>
          <w:b/>
          <w:bCs/>
          <w:i w:val="0"/>
          <w:iCs w:val="0"/>
          <w:color w:val="7030A0"/>
          <w:sz w:val="32"/>
          <w:szCs w:val="32"/>
          <w:lang w:eastAsia="zh-CN"/>
        </w:rPr>
        <w:t>】</w:t>
      </w:r>
    </w:p>
    <w:p>
      <w:pPr>
        <w:spacing w:line="360" w:lineRule="auto"/>
        <w:ind w:left="178" w:leftChars="85" w:firstLine="480" w:firstLineChars="200"/>
        <w:rPr>
          <w:rFonts w:hint="eastAsia" w:ascii="新宋体" w:hAnsi="新宋体" w:eastAsia="新宋体" w:cs="新宋体"/>
          <w:sz w:val="24"/>
          <w:lang w:val="en-US" w:eastAsia="zh-CN"/>
        </w:rPr>
      </w:pPr>
      <w:r>
        <w:rPr>
          <w:rFonts w:hint="eastAsia"/>
          <w:sz w:val="24"/>
        </w:rPr>
        <w:t xml:space="preserve"> </w:t>
      </w:r>
      <w:r>
        <w:rPr>
          <w:rFonts w:hint="eastAsia" w:ascii="新宋体" w:hAnsi="新宋体" w:eastAsia="新宋体" w:cs="新宋体"/>
          <w:sz w:val="24"/>
          <w:lang w:val="en-US" w:eastAsia="zh-CN"/>
        </w:rPr>
        <w:t>我国逐步进入到公平有序的社会主义法制新时代，新的时代要求企业家脚踏实地依法治企，依法纳税保证企业全体股东和员工利益，兼顾国家利益，作为企业的领导，由于时间精力及专业知识的欠缺，企业领导亲力亲为效果一般不能让人满意，甚至事倍功半影响企业应有的顺利发展，企业在发展过程当中必须要有专业的财务人员作为企业发展的后盾和后勤保障，企业发展顺利时保证利益效果君临天下，企业艰难时可以精打细算雪中送炭，这样的一个财务军师是企业的标配，如果没有，请即刻培养。</w:t>
      </w:r>
    </w:p>
    <w:p>
      <w:pPr>
        <w:spacing w:line="360" w:lineRule="auto"/>
        <w:ind w:left="178" w:leftChars="85" w:firstLine="480" w:firstLineChars="200"/>
        <w:rPr>
          <w:rFonts w:hint="eastAsia" w:ascii="新宋体" w:hAnsi="新宋体" w:eastAsia="新宋体" w:cs="新宋体"/>
          <w:sz w:val="24"/>
        </w:rPr>
      </w:pPr>
      <w:r>
        <w:rPr>
          <w:rFonts w:hint="eastAsia" w:ascii="新宋体" w:hAnsi="新宋体" w:eastAsia="新宋体" w:cs="新宋体"/>
          <w:sz w:val="24"/>
          <w:lang w:val="en-US" w:eastAsia="zh-CN"/>
        </w:rPr>
        <w:t>新时代</w:t>
      </w:r>
      <w:r>
        <w:rPr>
          <w:rFonts w:hint="eastAsia" w:ascii="新宋体" w:hAnsi="新宋体" w:eastAsia="新宋体" w:cs="新宋体"/>
          <w:sz w:val="24"/>
        </w:rPr>
        <w:t>财务</w:t>
      </w:r>
      <w:r>
        <w:rPr>
          <w:rFonts w:hint="eastAsia" w:ascii="新宋体" w:hAnsi="新宋体" w:eastAsia="新宋体" w:cs="新宋体"/>
          <w:sz w:val="24"/>
          <w:lang w:val="en-US" w:eastAsia="zh-CN"/>
        </w:rPr>
        <w:t>管理人员的战略眼光甚至要超越董事长提前完成产业布局的预算和决策经营的参考，兵马未动粮草先行就是这个道理，在企业运行过程中企业的收入支取，现金流控制，企业的投融资决策的关键环节都需要加强企业命脉的风险防范，以企业运营者的视野运筹帷幄之中而决策千里之外是全面提升企业健康发展的核心要素，</w:t>
      </w:r>
      <w:r>
        <w:rPr>
          <w:rFonts w:hint="eastAsia" w:ascii="新宋体" w:hAnsi="新宋体" w:eastAsia="新宋体" w:cs="新宋体"/>
          <w:sz w:val="24"/>
        </w:rPr>
        <w:t>要承担更重要的职责就必须不断扩宽自己的眼界。突破传统财务管理，从企业战略的高度看财务管理的问题；把握经济走势与宏观经济分析，运用公司治理与财务运营等方面的知识，控制与防范企业的风险；协助企业管理者掌舵企业未来发展方向；</w:t>
      </w:r>
      <w:r>
        <w:rPr>
          <w:rFonts w:hint="eastAsia" w:ascii="新宋体" w:hAnsi="新宋体" w:eastAsia="新宋体" w:cs="新宋体"/>
          <w:sz w:val="24"/>
          <w:lang w:val="en-US" w:eastAsia="zh-CN"/>
        </w:rPr>
        <w:t>通过案例分享</w:t>
      </w:r>
      <w:r>
        <w:rPr>
          <w:rFonts w:hint="eastAsia" w:ascii="新宋体" w:hAnsi="新宋体" w:eastAsia="新宋体" w:cs="新宋体"/>
          <w:sz w:val="24"/>
        </w:rPr>
        <w:t>接触国内外前沿性的财务管理知识与信息</w:t>
      </w:r>
      <w:r>
        <w:rPr>
          <w:rFonts w:hint="eastAsia" w:ascii="新宋体" w:hAnsi="新宋体" w:eastAsia="新宋体" w:cs="新宋体"/>
          <w:sz w:val="24"/>
          <w:lang w:eastAsia="zh-CN"/>
        </w:rPr>
        <w:t>，</w:t>
      </w:r>
      <w:r>
        <w:rPr>
          <w:rFonts w:hint="eastAsia" w:ascii="新宋体" w:hAnsi="新宋体" w:eastAsia="新宋体" w:cs="新宋体"/>
          <w:sz w:val="24"/>
        </w:rPr>
        <w:t>深入了解相关国际财务规则并借鉴国际企业的相关经验</w:t>
      </w: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用财务的方法配合企业的人力</w:t>
      </w:r>
      <w:r>
        <w:rPr>
          <w:rFonts w:ascii="Arial" w:hAnsi="宋体" w:cs="Arial"/>
          <w:sz w:val="24"/>
        </w:rPr>
        <w:t>、</w:t>
      </w:r>
      <w:r>
        <w:rPr>
          <w:rFonts w:hint="eastAsia" w:ascii="新宋体" w:hAnsi="新宋体" w:eastAsia="新宋体" w:cs="新宋体"/>
          <w:sz w:val="24"/>
          <w:lang w:val="en-US" w:eastAsia="zh-CN"/>
        </w:rPr>
        <w:t>股权</w:t>
      </w:r>
      <w:r>
        <w:rPr>
          <w:rFonts w:ascii="Arial" w:hAnsi="宋体" w:cs="Arial"/>
          <w:sz w:val="24"/>
        </w:rPr>
        <w:t>、</w:t>
      </w:r>
      <w:r>
        <w:rPr>
          <w:rFonts w:hint="eastAsia" w:ascii="新宋体" w:hAnsi="新宋体" w:eastAsia="新宋体" w:cs="新宋体"/>
          <w:sz w:val="24"/>
          <w:lang w:val="en-US" w:eastAsia="zh-CN"/>
        </w:rPr>
        <w:t>激励及绩效，全面激发企业的活力</w:t>
      </w:r>
      <w:r>
        <w:rPr>
          <w:rFonts w:hint="eastAsia" w:ascii="新宋体" w:hAnsi="新宋体" w:eastAsia="新宋体" w:cs="新宋体"/>
          <w:sz w:val="24"/>
        </w:rPr>
        <w:t>。</w:t>
      </w:r>
    </w:p>
    <w:p>
      <w:pPr>
        <w:spacing w:line="360" w:lineRule="auto"/>
        <w:ind w:firstLine="600" w:firstLineChars="25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优清商学院源于清华十年高培，服务数万学员企业，深知财务管理对企业发展的重要性和紧迫性，为此在</w:t>
      </w:r>
      <w:r>
        <w:rPr>
          <w:rFonts w:hint="eastAsia" w:ascii="新宋体" w:hAnsi="新宋体" w:eastAsia="新宋体" w:cs="新宋体"/>
          <w:sz w:val="24"/>
        </w:rPr>
        <w:t>多年办学经验及企业实际调查研究后，特开设“</w:t>
      </w:r>
      <w:r>
        <w:rPr>
          <w:rFonts w:hint="eastAsia" w:ascii="新宋体" w:hAnsi="新宋体" w:eastAsia="新宋体" w:cs="新宋体"/>
          <w:sz w:val="24"/>
          <w:lang w:val="en-US" w:eastAsia="zh-CN"/>
        </w:rPr>
        <w:t>新时代中国企业财务全面管理实战研修班</w:t>
      </w:r>
      <w:r>
        <w:rPr>
          <w:rFonts w:hint="eastAsia" w:ascii="新宋体" w:hAnsi="新宋体" w:eastAsia="新宋体" w:cs="新宋体"/>
          <w:sz w:val="24"/>
        </w:rPr>
        <w:t>”课程，旨在帮助企业</w:t>
      </w:r>
      <w:r>
        <w:rPr>
          <w:rFonts w:hint="eastAsia" w:ascii="新宋体" w:hAnsi="新宋体" w:eastAsia="新宋体" w:cs="新宋体"/>
          <w:sz w:val="24"/>
          <w:lang w:val="en-US" w:eastAsia="zh-CN"/>
        </w:rPr>
        <w:t>培养</w:t>
      </w:r>
      <w:r>
        <w:rPr>
          <w:rFonts w:hint="eastAsia" w:ascii="新宋体" w:hAnsi="新宋体" w:eastAsia="新宋体" w:cs="新宋体"/>
          <w:sz w:val="24"/>
        </w:rPr>
        <w:t>全面</w:t>
      </w:r>
      <w:r>
        <w:rPr>
          <w:rFonts w:hint="eastAsia" w:ascii="新宋体" w:hAnsi="新宋体" w:eastAsia="新宋体" w:cs="新宋体"/>
          <w:sz w:val="24"/>
          <w:lang w:val="en-US" w:eastAsia="zh-CN"/>
        </w:rPr>
        <w:t>发展</w:t>
      </w:r>
      <w:r>
        <w:rPr>
          <w:rFonts w:hint="eastAsia" w:ascii="新宋体" w:hAnsi="新宋体" w:eastAsia="新宋体" w:cs="新宋体"/>
          <w:sz w:val="24"/>
        </w:rPr>
        <w:t>的财务高级管理人员。</w:t>
      </w:r>
      <w:r>
        <w:rPr>
          <w:rFonts w:hint="eastAsia" w:ascii="新宋体" w:hAnsi="新宋体" w:eastAsia="新宋体" w:cs="新宋体"/>
          <w:sz w:val="24"/>
          <w:lang w:val="en-US" w:eastAsia="zh-CN"/>
        </w:rPr>
        <w:t>协助企业解决生存发展之道，希望通过系统学习达到减税增利，高效运营决策的效果。</w:t>
      </w:r>
    </w:p>
    <w:p>
      <w:pPr>
        <w:rPr>
          <w:rFonts w:hint="eastAsia" w:ascii="方正大黑简体" w:hAnsi="方正大黑简体" w:eastAsia="方正大黑简体" w:cs="方正大黑简体"/>
          <w:b/>
          <w:bCs/>
          <w:i w:val="0"/>
          <w:iCs w:val="0"/>
          <w:color w:val="7030A0"/>
          <w:sz w:val="32"/>
          <w:szCs w:val="32"/>
          <w:lang w:eastAsia="zh-CN"/>
        </w:rPr>
      </w:pPr>
      <w:r>
        <w:rPr>
          <w:rFonts w:hint="eastAsia" w:ascii="方正大黑简体" w:hAnsi="方正大黑简体" w:eastAsia="方正大黑简体" w:cs="方正大黑简体"/>
          <w:b/>
          <w:bCs/>
          <w:i w:val="0"/>
          <w:iCs w:val="0"/>
          <w:color w:val="7030A0"/>
          <w:sz w:val="32"/>
          <w:szCs w:val="32"/>
          <w:lang w:eastAsia="zh-CN"/>
        </w:rPr>
        <w:t>【招生对象】</w:t>
      </w:r>
    </w:p>
    <w:p>
      <w:pPr>
        <w:numPr>
          <w:ilvl w:val="1"/>
          <w:numId w:val="1"/>
        </w:numPr>
        <w:spacing w:line="380" w:lineRule="exact"/>
        <w:rPr>
          <w:rFonts w:hint="eastAsia" w:ascii="宋体" w:hAnsi="宋体" w:cs="Arial"/>
          <w:color w:val="000000"/>
          <w:sz w:val="24"/>
        </w:rPr>
      </w:pPr>
      <w:r>
        <w:rPr>
          <w:rFonts w:ascii="Arial" w:hAnsi="宋体" w:cs="Arial"/>
          <w:sz w:val="24"/>
        </w:rPr>
        <w:t>企业财务总监、总会计师、财务经理、</w:t>
      </w:r>
      <w:r>
        <w:rPr>
          <w:rFonts w:hint="eastAsia" w:ascii="Arial" w:hAnsi="宋体" w:cs="Arial"/>
          <w:sz w:val="24"/>
          <w:lang w:val="en-US" w:eastAsia="zh-CN"/>
        </w:rPr>
        <w:t>财务主管；</w:t>
      </w:r>
    </w:p>
    <w:p>
      <w:pPr>
        <w:numPr>
          <w:ilvl w:val="1"/>
          <w:numId w:val="1"/>
        </w:numPr>
        <w:spacing w:line="380" w:lineRule="exact"/>
        <w:rPr>
          <w:rFonts w:hint="eastAsia" w:ascii="宋体" w:hAnsi="宋体" w:cs="Arial"/>
          <w:color w:val="000000"/>
          <w:sz w:val="24"/>
        </w:rPr>
      </w:pPr>
      <w:r>
        <w:rPr>
          <w:rFonts w:hint="eastAsia" w:ascii="Arial" w:hAnsi="宋体" w:cs="Arial"/>
          <w:sz w:val="24"/>
        </w:rPr>
        <w:t>企业董事长、总经理、副总等</w:t>
      </w:r>
      <w:r>
        <w:rPr>
          <w:rFonts w:hint="eastAsia" w:ascii="Arial" w:hAnsi="宋体" w:cs="Arial"/>
          <w:sz w:val="24"/>
          <w:lang w:val="en-US" w:eastAsia="zh-CN"/>
        </w:rPr>
        <w:t>决策者和管理者；</w:t>
      </w:r>
    </w:p>
    <w:p>
      <w:pPr>
        <w:numPr>
          <w:ilvl w:val="1"/>
          <w:numId w:val="1"/>
        </w:numPr>
        <w:spacing w:line="380" w:lineRule="exact"/>
        <w:rPr>
          <w:rFonts w:hint="eastAsia" w:ascii="宋体" w:hAnsi="宋体" w:cs="Arial"/>
          <w:color w:val="000000"/>
          <w:sz w:val="24"/>
        </w:rPr>
      </w:pPr>
      <w:r>
        <w:rPr>
          <w:rFonts w:hint="eastAsia" w:ascii="宋体" w:hAnsi="宋体" w:cs="宋体"/>
          <w:kern w:val="0"/>
          <w:sz w:val="24"/>
          <w:lang w:val="en-US" w:eastAsia="zh-CN"/>
        </w:rPr>
        <w:t>企业董事长秘书，运营经理；</w:t>
      </w:r>
    </w:p>
    <w:p>
      <w:pPr>
        <w:numPr>
          <w:ilvl w:val="1"/>
          <w:numId w:val="1"/>
        </w:numPr>
        <w:spacing w:line="380" w:lineRule="exact"/>
        <w:rPr>
          <w:rFonts w:hint="eastAsia" w:ascii="宋体" w:hAnsi="宋体" w:cs="Arial"/>
          <w:color w:val="000000"/>
          <w:sz w:val="24"/>
        </w:rPr>
      </w:pPr>
      <w:r>
        <w:rPr>
          <w:rFonts w:hint="eastAsia" w:ascii="宋体" w:hAnsi="宋体" w:cs="宋体"/>
          <w:kern w:val="0"/>
          <w:sz w:val="24"/>
        </w:rPr>
        <w:t>金融、证券、投资等行业高级管理人员和专业人员</w:t>
      </w:r>
      <w:r>
        <w:rPr>
          <w:rFonts w:hint="eastAsia" w:ascii="宋体" w:hAnsi="宋体" w:cs="宋体"/>
          <w:kern w:val="0"/>
          <w:sz w:val="24"/>
          <w:lang w:eastAsia="zh-CN"/>
        </w:rPr>
        <w:t>；</w:t>
      </w:r>
    </w:p>
    <w:p>
      <w:pPr>
        <w:numPr>
          <w:ilvl w:val="1"/>
          <w:numId w:val="1"/>
        </w:numPr>
        <w:spacing w:line="380" w:lineRule="exact"/>
        <w:rPr>
          <w:rFonts w:hint="eastAsia" w:ascii="宋体" w:hAnsi="宋体" w:cs="Arial"/>
          <w:color w:val="000000"/>
          <w:sz w:val="24"/>
        </w:rPr>
      </w:pPr>
      <w:r>
        <w:rPr>
          <w:rFonts w:hint="eastAsia" w:ascii="宋体" w:hAnsi="宋体" w:cs="Arial"/>
          <w:color w:val="000000"/>
          <w:sz w:val="24"/>
          <w:lang w:val="en-US" w:eastAsia="zh-CN"/>
        </w:rPr>
        <w:t>渴望进修实战经验的注册会计师</w:t>
      </w:r>
      <w:r>
        <w:rPr>
          <w:rFonts w:hint="eastAsia" w:ascii="新宋体" w:hAnsi="新宋体" w:eastAsia="新宋体"/>
          <w:color w:val="000000"/>
          <w:kern w:val="0"/>
          <w:sz w:val="21"/>
          <w:szCs w:val="21"/>
        </w:rPr>
        <w:t>、</w:t>
      </w:r>
      <w:r>
        <w:rPr>
          <w:rFonts w:hint="eastAsia" w:ascii="宋体" w:hAnsi="宋体" w:cs="Arial"/>
          <w:color w:val="000000"/>
          <w:sz w:val="24"/>
          <w:lang w:val="en-US" w:eastAsia="zh-CN"/>
        </w:rPr>
        <w:t>咨询师</w:t>
      </w:r>
      <w:r>
        <w:rPr>
          <w:rFonts w:hint="eastAsia" w:ascii="新宋体" w:hAnsi="新宋体" w:eastAsia="新宋体"/>
          <w:color w:val="000000"/>
          <w:kern w:val="0"/>
          <w:sz w:val="21"/>
          <w:szCs w:val="21"/>
        </w:rPr>
        <w:t>、</w:t>
      </w:r>
      <w:r>
        <w:rPr>
          <w:rFonts w:hint="eastAsia" w:ascii="宋体" w:hAnsi="宋体" w:cs="Arial"/>
          <w:color w:val="000000"/>
          <w:sz w:val="24"/>
          <w:lang w:val="en-US" w:eastAsia="zh-CN"/>
        </w:rPr>
        <w:t>审计师。</w:t>
      </w:r>
    </w:p>
    <w:p>
      <w:pPr>
        <w:spacing w:line="360" w:lineRule="auto"/>
        <w:ind w:firstLine="600" w:firstLineChars="250"/>
        <w:rPr>
          <w:rFonts w:hint="eastAsia" w:ascii="新宋体" w:hAnsi="新宋体" w:eastAsia="新宋体" w:cs="新宋体"/>
          <w:sz w:val="24"/>
          <w:lang w:val="en-US" w:eastAsia="zh-CN"/>
        </w:rPr>
      </w:pPr>
    </w:p>
    <w:p>
      <w:pPr>
        <w:spacing w:line="360" w:lineRule="auto"/>
        <w:ind w:firstLine="560"/>
        <w:rPr>
          <w:sz w:val="24"/>
        </w:rPr>
      </w:pPr>
    </w:p>
    <w:p>
      <w:pPr>
        <w:rPr>
          <w:rFonts w:hint="eastAsia" w:ascii="方正大黑简体" w:hAnsi="方正大黑简体" w:eastAsia="方正大黑简体" w:cs="方正大黑简体"/>
          <w:b/>
          <w:bCs/>
          <w:i w:val="0"/>
          <w:iCs w:val="0"/>
          <w:color w:val="7030A0"/>
          <w:sz w:val="32"/>
          <w:szCs w:val="32"/>
          <w:lang w:eastAsia="zh-CN"/>
        </w:rPr>
      </w:pPr>
      <w:r>
        <w:rPr>
          <w:rFonts w:hint="eastAsia" w:ascii="方正大黑简体" w:hAnsi="方正大黑简体" w:eastAsia="方正大黑简体" w:cs="方正大黑简体"/>
          <w:b/>
          <w:bCs/>
          <w:i w:val="0"/>
          <w:iCs w:val="0"/>
          <w:color w:val="7030A0"/>
          <w:sz w:val="32"/>
          <w:szCs w:val="32"/>
          <w:lang w:eastAsia="zh-CN"/>
        </w:rPr>
        <w:t>【</w:t>
      </w:r>
      <w:r>
        <w:rPr>
          <w:rFonts w:hint="eastAsia" w:ascii="方正大黑简体" w:hAnsi="方正大黑简体" w:eastAsia="方正大黑简体" w:cs="方正大黑简体"/>
          <w:b/>
          <w:bCs/>
          <w:i w:val="0"/>
          <w:iCs w:val="0"/>
          <w:color w:val="7030A0"/>
          <w:sz w:val="32"/>
          <w:szCs w:val="32"/>
          <w:lang w:val="en-US" w:eastAsia="zh-CN"/>
        </w:rPr>
        <w:t>课程设置</w:t>
      </w:r>
      <w:r>
        <w:rPr>
          <w:rFonts w:hint="eastAsia" w:ascii="方正大黑简体" w:hAnsi="方正大黑简体" w:eastAsia="方正大黑简体" w:cs="方正大黑简体"/>
          <w:b/>
          <w:bCs/>
          <w:i w:val="0"/>
          <w:iCs w:val="0"/>
          <w:color w:val="7030A0"/>
          <w:sz w:val="32"/>
          <w:szCs w:val="32"/>
          <w:lang w:eastAsia="zh-CN"/>
        </w:rPr>
        <w:t>】</w:t>
      </w:r>
    </w:p>
    <w:p>
      <w:pPr>
        <w:rPr>
          <w:rStyle w:val="9"/>
          <w:sz w:val="24"/>
        </w:rPr>
      </w:pPr>
    </w:p>
    <w:tbl>
      <w:tblPr>
        <w:tblStyle w:val="7"/>
        <w:tblW w:w="9000" w:type="dxa"/>
        <w:jc w:val="center"/>
        <w:tblCellSpacing w:w="15" w:type="dxa"/>
        <w:tblInd w:w="-116" w:type="dxa"/>
        <w:tblLayout w:type="fixed"/>
        <w:tblCellMar>
          <w:top w:w="15" w:type="dxa"/>
          <w:left w:w="15" w:type="dxa"/>
          <w:bottom w:w="15" w:type="dxa"/>
          <w:right w:w="15" w:type="dxa"/>
        </w:tblCellMar>
      </w:tblPr>
      <w:tblGrid>
        <w:gridCol w:w="4434"/>
        <w:gridCol w:w="4566"/>
      </w:tblGrid>
      <w:tr>
        <w:tblPrEx>
          <w:tblLayout w:type="fixed"/>
          <w:tblCellMar>
            <w:top w:w="15" w:type="dxa"/>
            <w:left w:w="15" w:type="dxa"/>
            <w:bottom w:w="15" w:type="dxa"/>
            <w:right w:w="15" w:type="dxa"/>
          </w:tblCellMar>
        </w:tblPrEx>
        <w:trPr>
          <w:trHeight w:val="555" w:hRule="atLeast"/>
          <w:tblCellSpacing w:w="15" w:type="dxa"/>
          <w:jc w:val="center"/>
        </w:trPr>
        <w:tc>
          <w:tcPr>
            <w:tcW w:w="8940" w:type="dxa"/>
            <w:gridSpan w:val="2"/>
            <w:tcBorders>
              <w:top w:val="single" w:color="auto" w:sz="4" w:space="0"/>
              <w:left w:val="inset" w:color="000000" w:sz="6" w:space="0"/>
              <w:bottom w:val="single" w:color="auto" w:sz="4" w:space="0"/>
              <w:right w:val="inset" w:color="000000" w:sz="6" w:space="0"/>
            </w:tcBorders>
            <w:shd w:val="clear" w:color="auto" w:fill="7030A0"/>
            <w:tcMar>
              <w:top w:w="0" w:type="dxa"/>
              <w:left w:w="0" w:type="dxa"/>
              <w:bottom w:w="0" w:type="dxa"/>
              <w:right w:w="0" w:type="dxa"/>
            </w:tcMar>
            <w:vAlign w:val="center"/>
          </w:tcPr>
          <w:p>
            <w:pPr>
              <w:widowControl/>
              <w:tabs>
                <w:tab w:val="left" w:pos="1139"/>
                <w:tab w:val="center" w:pos="2078"/>
              </w:tabs>
              <w:jc w:val="center"/>
              <w:rPr>
                <w:rFonts w:hint="eastAsia" w:ascii="Arial" w:hAnsi="Arial" w:cs="Arial"/>
                <w:b/>
                <w:bCs/>
                <w:color w:val="FFFFFF" w:themeColor="background1"/>
                <w:kern w:val="0"/>
                <w:sz w:val="24"/>
                <w:lang w:eastAsia="zh-CN"/>
                <w14:textFill>
                  <w14:solidFill>
                    <w14:schemeClr w14:val="bg1"/>
                  </w14:solidFill>
                </w14:textFill>
              </w:rPr>
            </w:pPr>
            <w:r>
              <w:rPr>
                <w:rFonts w:hint="eastAsia" w:ascii="Arial" w:hAnsi="Arial" w:cs="Arial"/>
                <w:b/>
                <w:bCs/>
                <w:color w:val="FFFFFF" w:themeColor="background1"/>
                <w:kern w:val="0"/>
                <w:sz w:val="24"/>
                <w:lang w:eastAsia="zh-CN"/>
                <w14:textFill>
                  <w14:solidFill>
                    <w14:schemeClr w14:val="bg1"/>
                  </w14:solidFill>
                </w14:textFill>
              </w:rPr>
              <w:tab/>
            </w:r>
            <w:r>
              <w:rPr>
                <w:rFonts w:hint="eastAsia" w:ascii="Arial" w:hAnsi="Arial" w:cs="Arial"/>
                <w:b/>
                <w:bCs/>
                <w:color w:val="FFFFFF" w:themeColor="background1"/>
                <w:kern w:val="0"/>
                <w:sz w:val="24"/>
                <w:lang w:eastAsia="zh-CN"/>
                <w14:textFill>
                  <w14:solidFill>
                    <w14:schemeClr w14:val="bg1"/>
                  </w14:solidFill>
                </w14:textFill>
              </w:rPr>
              <w:tab/>
            </w:r>
            <w:r>
              <w:rPr>
                <w:rFonts w:hint="eastAsia" w:ascii="Arial" w:hAnsi="Arial" w:cs="Arial"/>
                <w:b/>
                <w:bCs/>
                <w:color w:val="FFFFFF" w:themeColor="background1"/>
                <w:kern w:val="0"/>
                <w:sz w:val="24"/>
                <w:lang w:eastAsia="zh-CN"/>
                <w14:textFill>
                  <w14:solidFill>
                    <w14:schemeClr w14:val="bg1"/>
                  </w14:solidFill>
                </w14:textFill>
              </w:rPr>
              <w:t>财务战略管理模块</w:t>
            </w:r>
          </w:p>
        </w:tc>
      </w:tr>
      <w:tr>
        <w:tblPrEx>
          <w:tblLayout w:type="fixed"/>
          <w:tblCellMar>
            <w:top w:w="15" w:type="dxa"/>
            <w:left w:w="15" w:type="dxa"/>
            <w:bottom w:w="15" w:type="dxa"/>
            <w:right w:w="15" w:type="dxa"/>
          </w:tblCellMar>
        </w:tblPrEx>
        <w:trPr>
          <w:trHeight w:val="1909" w:hRule="atLeast"/>
          <w:tblCellSpacing w:w="15" w:type="dxa"/>
          <w:jc w:val="center"/>
        </w:trPr>
        <w:tc>
          <w:tcPr>
            <w:tcW w:w="4389" w:type="dxa"/>
            <w:tcBorders>
              <w:top w:val="single" w:color="auto" w:sz="4" w:space="0"/>
              <w:left w:val="inset" w:color="000000" w:sz="6"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rPr>
            </w:pPr>
            <w:r>
              <w:rPr>
                <w:rFonts w:hint="eastAsia" w:ascii="Arial" w:hAnsi="Arial" w:cs="Arial"/>
                <w:color w:val="000000"/>
                <w:kern w:val="0"/>
                <w:sz w:val="24"/>
              </w:rPr>
              <w:t>企业经营谋略与提升战略</w:t>
            </w:r>
          </w:p>
          <w:p>
            <w:pPr>
              <w:jc w:val="center"/>
              <w:rPr>
                <w:rFonts w:hint="eastAsia" w:ascii="Arial" w:hAnsi="Arial" w:cs="Arial"/>
                <w:color w:val="000000"/>
                <w:kern w:val="0"/>
                <w:sz w:val="24"/>
              </w:rPr>
            </w:pPr>
            <w:r>
              <w:rPr>
                <w:rFonts w:hint="eastAsia" w:ascii="Arial" w:hAnsi="Arial" w:cs="Arial"/>
                <w:color w:val="000000"/>
                <w:kern w:val="0"/>
                <w:sz w:val="24"/>
              </w:rPr>
              <w:t>战略思维与管理创新</w:t>
            </w:r>
          </w:p>
          <w:p>
            <w:pPr>
              <w:jc w:val="center"/>
              <w:rPr>
                <w:rFonts w:ascii="Arial" w:hAnsi="Arial" w:cs="Arial"/>
                <w:color w:val="000000"/>
                <w:kern w:val="0"/>
                <w:sz w:val="24"/>
              </w:rPr>
            </w:pPr>
            <w:r>
              <w:rPr>
                <w:rFonts w:hint="eastAsia" w:ascii="Arial" w:hAnsi="Arial" w:cs="Arial"/>
                <w:color w:val="000000"/>
                <w:kern w:val="0"/>
                <w:sz w:val="24"/>
              </w:rPr>
              <w:t>经济全球化规则与国际化战略</w:t>
            </w:r>
          </w:p>
        </w:tc>
        <w:tc>
          <w:tcPr>
            <w:tcW w:w="4521" w:type="dxa"/>
            <w:tcBorders>
              <w:top w:val="single" w:color="auto" w:sz="4" w:space="0"/>
              <w:left w:val="single" w:color="auto" w:sz="0"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rPr>
            </w:pPr>
            <w:r>
              <w:rPr>
                <w:rFonts w:hint="eastAsia" w:ascii="Arial" w:hAnsi="Arial" w:cs="Arial"/>
                <w:color w:val="000000"/>
                <w:kern w:val="0"/>
                <w:sz w:val="24"/>
              </w:rPr>
              <w:t>财务战略</w:t>
            </w:r>
            <w:r>
              <w:rPr>
                <w:rFonts w:hint="eastAsia" w:ascii="Arial" w:hAnsi="Arial" w:cs="Arial"/>
                <w:color w:val="000000"/>
                <w:kern w:val="0"/>
                <w:sz w:val="24"/>
                <w:lang w:val="en-US" w:eastAsia="zh-CN"/>
              </w:rPr>
              <w:t>国际化</w:t>
            </w:r>
            <w:r>
              <w:rPr>
                <w:rFonts w:hint="eastAsia" w:ascii="Arial" w:hAnsi="Arial" w:cs="Arial"/>
                <w:color w:val="000000"/>
                <w:kern w:val="0"/>
                <w:sz w:val="24"/>
              </w:rPr>
              <w:t>的制定方法</w:t>
            </w:r>
          </w:p>
          <w:p>
            <w:pPr>
              <w:jc w:val="center"/>
              <w:rPr>
                <w:rFonts w:hint="eastAsia" w:ascii="Arial" w:hAnsi="Arial" w:cs="Arial"/>
                <w:color w:val="000000"/>
                <w:kern w:val="0"/>
                <w:sz w:val="24"/>
              </w:rPr>
            </w:pPr>
            <w:r>
              <w:rPr>
                <w:rFonts w:hint="eastAsia" w:ascii="Arial" w:hAnsi="Arial" w:cs="Arial"/>
                <w:color w:val="000000"/>
                <w:kern w:val="0"/>
                <w:sz w:val="24"/>
              </w:rPr>
              <w:t>企业资金投放战略方案的设计与实施</w:t>
            </w:r>
          </w:p>
          <w:p>
            <w:pPr>
              <w:jc w:val="center"/>
              <w:rPr>
                <w:rFonts w:ascii="Arial" w:hAnsi="Arial" w:cs="Arial"/>
                <w:color w:val="000000"/>
                <w:kern w:val="0"/>
                <w:sz w:val="24"/>
              </w:rPr>
            </w:pPr>
            <w:r>
              <w:rPr>
                <w:rFonts w:hint="eastAsia" w:ascii="Arial" w:hAnsi="Arial" w:cs="Arial"/>
                <w:color w:val="000000"/>
                <w:kern w:val="0"/>
                <w:sz w:val="24"/>
              </w:rPr>
              <w:t>企业价值链管理</w:t>
            </w:r>
          </w:p>
        </w:tc>
      </w:tr>
      <w:tr>
        <w:tblPrEx>
          <w:tblLayout w:type="fixed"/>
          <w:tblCellMar>
            <w:top w:w="15" w:type="dxa"/>
            <w:left w:w="15" w:type="dxa"/>
            <w:bottom w:w="15" w:type="dxa"/>
            <w:right w:w="15" w:type="dxa"/>
          </w:tblCellMar>
        </w:tblPrEx>
        <w:trPr>
          <w:trHeight w:val="540" w:hRule="atLeast"/>
          <w:tblCellSpacing w:w="15" w:type="dxa"/>
          <w:jc w:val="center"/>
        </w:trPr>
        <w:tc>
          <w:tcPr>
            <w:tcW w:w="8940" w:type="dxa"/>
            <w:gridSpan w:val="2"/>
            <w:tcBorders>
              <w:top w:val="inset" w:color="000000" w:sz="6" w:space="0"/>
              <w:left w:val="inset" w:color="000000" w:sz="6" w:space="0"/>
              <w:bottom w:val="inset" w:color="000000" w:sz="6" w:space="0"/>
              <w:right w:val="inset" w:color="000000" w:sz="6" w:space="0"/>
            </w:tcBorders>
            <w:shd w:val="clear" w:color="auto" w:fill="7030A0"/>
            <w:tcMar>
              <w:top w:w="0" w:type="dxa"/>
              <w:left w:w="0" w:type="dxa"/>
              <w:bottom w:w="0" w:type="dxa"/>
              <w:right w:w="0" w:type="dxa"/>
            </w:tcMar>
            <w:vAlign w:val="center"/>
          </w:tcPr>
          <w:p>
            <w:pPr>
              <w:widowControl/>
              <w:jc w:val="center"/>
              <w:rPr>
                <w:rFonts w:ascii="Arial" w:hAnsi="Arial" w:cs="Arial"/>
                <w:color w:val="FFFFFF" w:themeColor="background1"/>
                <w:kern w:val="0"/>
                <w:sz w:val="18"/>
                <w:szCs w:val="18"/>
                <w14:textFill>
                  <w14:solidFill>
                    <w14:schemeClr w14:val="bg1"/>
                  </w14:solidFill>
                </w14:textFill>
              </w:rPr>
            </w:pPr>
            <w:r>
              <w:rPr>
                <w:rFonts w:hint="eastAsia" w:ascii="Arial" w:hAnsi="Arial" w:cs="Arial"/>
                <w:b/>
                <w:bCs/>
                <w:color w:val="FFFFFF" w:themeColor="background1"/>
                <w:kern w:val="0"/>
                <w:sz w:val="24"/>
                <w:lang w:eastAsia="zh-CN"/>
                <w14:textFill>
                  <w14:solidFill>
                    <w14:schemeClr w14:val="bg1"/>
                  </w14:solidFill>
                </w14:textFill>
              </w:rPr>
              <w:tab/>
            </w:r>
            <w:r>
              <w:rPr>
                <w:rFonts w:hint="eastAsia" w:ascii="Arial" w:hAnsi="Arial" w:cs="Arial"/>
                <w:b/>
                <w:bCs/>
                <w:color w:val="FFFFFF" w:themeColor="background1"/>
                <w:kern w:val="0"/>
                <w:sz w:val="24"/>
                <w:lang w:eastAsia="zh-CN"/>
                <w14:textFill>
                  <w14:solidFill>
                    <w14:schemeClr w14:val="bg1"/>
                  </w14:solidFill>
                </w14:textFill>
              </w:rPr>
              <w:t>财税实务管理模块</w:t>
            </w:r>
          </w:p>
        </w:tc>
      </w:tr>
      <w:tr>
        <w:tblPrEx>
          <w:tblLayout w:type="fixed"/>
          <w:tblCellMar>
            <w:top w:w="15" w:type="dxa"/>
            <w:left w:w="15" w:type="dxa"/>
            <w:bottom w:w="15" w:type="dxa"/>
            <w:right w:w="15" w:type="dxa"/>
          </w:tblCellMar>
        </w:tblPrEx>
        <w:trPr>
          <w:trHeight w:val="1559" w:hRule="atLeast"/>
          <w:tblCellSpacing w:w="15" w:type="dxa"/>
          <w:jc w:val="center"/>
        </w:trPr>
        <w:tc>
          <w:tcPr>
            <w:tcW w:w="4389" w:type="dxa"/>
            <w:tcBorders>
              <w:top w:val="single" w:color="auto" w:sz="0" w:space="0"/>
              <w:left w:val="inset" w:color="000000" w:sz="6" w:space="0"/>
              <w:bottom w:val="inset" w:color="000000" w:sz="6"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rPr>
            </w:pPr>
            <w:r>
              <w:rPr>
                <w:rFonts w:hint="eastAsia" w:ascii="Arial" w:hAnsi="Arial" w:cs="Arial"/>
                <w:color w:val="000000"/>
                <w:kern w:val="0"/>
                <w:sz w:val="24"/>
                <w:lang w:val="en-US" w:eastAsia="zh-CN"/>
              </w:rPr>
              <w:t>新时代</w:t>
            </w:r>
            <w:r>
              <w:rPr>
                <w:rFonts w:hint="eastAsia" w:ascii="Arial" w:hAnsi="Arial" w:cs="Arial"/>
                <w:color w:val="000000"/>
                <w:kern w:val="0"/>
                <w:sz w:val="24"/>
              </w:rPr>
              <w:t>税务政策</w:t>
            </w:r>
            <w:r>
              <w:rPr>
                <w:rFonts w:hint="eastAsia" w:ascii="Arial" w:hAnsi="Arial" w:cs="Arial"/>
                <w:color w:val="000000"/>
                <w:kern w:val="0"/>
                <w:sz w:val="24"/>
                <w:lang w:val="en-US" w:eastAsia="zh-CN"/>
              </w:rPr>
              <w:t>及纳税筹划</w:t>
            </w:r>
          </w:p>
          <w:p>
            <w:pPr>
              <w:jc w:val="center"/>
              <w:rPr>
                <w:rFonts w:hint="eastAsia" w:ascii="Arial" w:hAnsi="Arial" w:cs="Arial"/>
                <w:color w:val="000000"/>
                <w:kern w:val="0"/>
                <w:sz w:val="24"/>
              </w:rPr>
            </w:pPr>
            <w:r>
              <w:rPr>
                <w:rFonts w:hint="eastAsia" w:ascii="Arial" w:hAnsi="Arial" w:cs="Arial"/>
                <w:color w:val="000000"/>
                <w:kern w:val="0"/>
                <w:sz w:val="24"/>
              </w:rPr>
              <w:t>经营活动中发票的风险点提示及规避方法</w:t>
            </w:r>
          </w:p>
          <w:p>
            <w:pPr>
              <w:jc w:val="center"/>
              <w:rPr>
                <w:rFonts w:hint="eastAsia" w:ascii="Arial" w:hAnsi="Arial" w:cs="Arial"/>
                <w:color w:val="000000"/>
                <w:kern w:val="0"/>
                <w:sz w:val="24"/>
              </w:rPr>
            </w:pPr>
            <w:r>
              <w:rPr>
                <w:rFonts w:hint="eastAsia" w:ascii="Arial" w:hAnsi="Arial" w:cs="Arial"/>
                <w:color w:val="000000"/>
                <w:kern w:val="0"/>
                <w:sz w:val="24"/>
              </w:rPr>
              <w:t>公司防控税务风险体系的规划建立与运用</w:t>
            </w:r>
          </w:p>
        </w:tc>
        <w:tc>
          <w:tcPr>
            <w:tcW w:w="4521" w:type="dxa"/>
            <w:tcBorders>
              <w:top w:val="single" w:color="auto" w:sz="0" w:space="0"/>
              <w:left w:val="single" w:color="auto" w:sz="0" w:space="0"/>
              <w:bottom w:val="inset" w:color="000000" w:sz="6"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rPr>
            </w:pPr>
            <w:r>
              <w:rPr>
                <w:rFonts w:hint="eastAsia" w:ascii="Arial" w:hAnsi="Arial" w:cs="Arial"/>
                <w:color w:val="000000"/>
                <w:kern w:val="0"/>
                <w:sz w:val="24"/>
              </w:rPr>
              <w:t>节税工具及管道选择</w:t>
            </w:r>
          </w:p>
          <w:p>
            <w:pPr>
              <w:jc w:val="center"/>
              <w:rPr>
                <w:rFonts w:hint="eastAsia" w:ascii="Arial" w:hAnsi="Arial" w:cs="Arial"/>
                <w:color w:val="000000"/>
                <w:kern w:val="0"/>
                <w:sz w:val="24"/>
              </w:rPr>
            </w:pPr>
            <w:r>
              <w:rPr>
                <w:rFonts w:hint="eastAsia" w:ascii="Arial" w:hAnsi="Arial" w:cs="Arial"/>
                <w:color w:val="000000"/>
                <w:kern w:val="0"/>
                <w:sz w:val="24"/>
              </w:rPr>
              <w:t>销售活动中的节税安排</w:t>
            </w:r>
          </w:p>
          <w:p>
            <w:pPr>
              <w:jc w:val="center"/>
              <w:rPr>
                <w:rFonts w:hint="eastAsia" w:ascii="Arial" w:hAnsi="Arial" w:cs="Arial"/>
                <w:color w:val="000000"/>
                <w:kern w:val="0"/>
                <w:sz w:val="24"/>
              </w:rPr>
            </w:pPr>
            <w:r>
              <w:rPr>
                <w:rFonts w:hint="eastAsia" w:ascii="Arial" w:hAnsi="Arial" w:cs="Arial"/>
                <w:color w:val="000000"/>
                <w:kern w:val="0"/>
                <w:sz w:val="24"/>
              </w:rPr>
              <w:t>防控风险的税务管理体系的建立与运用</w:t>
            </w:r>
          </w:p>
        </w:tc>
      </w:tr>
      <w:tr>
        <w:tblPrEx>
          <w:tblLayout w:type="fixed"/>
          <w:tblCellMar>
            <w:top w:w="15" w:type="dxa"/>
            <w:left w:w="15" w:type="dxa"/>
            <w:bottom w:w="15" w:type="dxa"/>
            <w:right w:w="15" w:type="dxa"/>
          </w:tblCellMar>
        </w:tblPrEx>
        <w:trPr>
          <w:trHeight w:val="508" w:hRule="atLeast"/>
          <w:tblCellSpacing w:w="15" w:type="dxa"/>
          <w:jc w:val="center"/>
        </w:trPr>
        <w:tc>
          <w:tcPr>
            <w:tcW w:w="8940" w:type="dxa"/>
            <w:gridSpan w:val="2"/>
            <w:tcBorders>
              <w:top w:val="single" w:color="auto" w:sz="0" w:space="0"/>
              <w:left w:val="inset" w:color="000000" w:sz="6" w:space="0"/>
              <w:bottom w:val="inset" w:color="000000" w:sz="6" w:space="0"/>
              <w:right w:val="inset" w:color="000000" w:sz="6" w:space="0"/>
            </w:tcBorders>
            <w:shd w:val="clear" w:color="auto" w:fill="7030A0"/>
            <w:tcMar>
              <w:top w:w="0" w:type="dxa"/>
              <w:left w:w="0" w:type="dxa"/>
              <w:bottom w:w="0" w:type="dxa"/>
              <w:right w:w="0" w:type="dxa"/>
            </w:tcMar>
            <w:vAlign w:val="center"/>
          </w:tcPr>
          <w:p>
            <w:pPr>
              <w:widowControl/>
              <w:jc w:val="center"/>
              <w:rPr>
                <w:rFonts w:ascii="Arial" w:hAnsi="Arial" w:cs="Arial"/>
                <w:b/>
                <w:bCs/>
                <w:color w:val="FFFFFF" w:themeColor="background1"/>
                <w:kern w:val="0"/>
                <w:sz w:val="24"/>
                <w14:textFill>
                  <w14:solidFill>
                    <w14:schemeClr w14:val="bg1"/>
                  </w14:solidFill>
                </w14:textFill>
              </w:rPr>
            </w:pPr>
            <w:r>
              <w:rPr>
                <w:rFonts w:hint="eastAsia" w:ascii="Arial" w:hAnsi="Arial" w:cs="Arial"/>
                <w:b/>
                <w:bCs/>
                <w:color w:val="FFFFFF" w:themeColor="background1"/>
                <w:kern w:val="0"/>
                <w:sz w:val="24"/>
                <w:lang w:val="en-US" w:eastAsia="zh-CN"/>
                <w14:textFill>
                  <w14:solidFill>
                    <w14:schemeClr w14:val="bg1"/>
                  </w14:solidFill>
                </w14:textFill>
              </w:rPr>
              <w:t>成本管理与控制</w:t>
            </w:r>
          </w:p>
        </w:tc>
      </w:tr>
      <w:tr>
        <w:tblPrEx>
          <w:tblLayout w:type="fixed"/>
          <w:tblCellMar>
            <w:top w:w="15" w:type="dxa"/>
            <w:left w:w="15" w:type="dxa"/>
            <w:bottom w:w="15" w:type="dxa"/>
            <w:right w:w="15" w:type="dxa"/>
          </w:tblCellMar>
        </w:tblPrEx>
        <w:trPr>
          <w:trHeight w:val="1559" w:hRule="atLeast"/>
          <w:tblCellSpacing w:w="15" w:type="dxa"/>
          <w:jc w:val="center"/>
        </w:trPr>
        <w:tc>
          <w:tcPr>
            <w:tcW w:w="4389" w:type="dxa"/>
            <w:tcBorders>
              <w:top w:val="single" w:color="auto" w:sz="0" w:space="0"/>
              <w:left w:val="inset" w:color="000000" w:sz="6" w:space="0"/>
              <w:bottom w:val="inset" w:color="000000" w:sz="6"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企业成本管理设计</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预算在企业运营中的重新定位</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现金流量管理机制</w:t>
            </w:r>
          </w:p>
        </w:tc>
        <w:tc>
          <w:tcPr>
            <w:tcW w:w="4521" w:type="dxa"/>
            <w:tcBorders>
              <w:top w:val="single" w:color="auto" w:sz="0" w:space="0"/>
              <w:left w:val="single" w:color="auto" w:sz="0" w:space="0"/>
              <w:bottom w:val="inset" w:color="000000" w:sz="6"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四大报表分析与经营决策</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内控的建立和执行应用</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价值分析与企业价值决定</w:t>
            </w:r>
          </w:p>
        </w:tc>
      </w:tr>
      <w:tr>
        <w:tblPrEx>
          <w:tblLayout w:type="fixed"/>
          <w:tblCellMar>
            <w:top w:w="15" w:type="dxa"/>
            <w:left w:w="15" w:type="dxa"/>
            <w:bottom w:w="15" w:type="dxa"/>
            <w:right w:w="15" w:type="dxa"/>
          </w:tblCellMar>
        </w:tblPrEx>
        <w:trPr>
          <w:trHeight w:val="508" w:hRule="atLeast"/>
          <w:tblCellSpacing w:w="15" w:type="dxa"/>
          <w:jc w:val="center"/>
        </w:trPr>
        <w:tc>
          <w:tcPr>
            <w:tcW w:w="8940" w:type="dxa"/>
            <w:gridSpan w:val="2"/>
            <w:tcBorders>
              <w:top w:val="single" w:color="auto" w:sz="0" w:space="0"/>
              <w:left w:val="inset" w:color="000000" w:sz="6" w:space="0"/>
              <w:bottom w:val="inset" w:color="000000" w:sz="6" w:space="0"/>
              <w:right w:val="inset" w:color="000000" w:sz="6" w:space="0"/>
            </w:tcBorders>
            <w:shd w:val="clear" w:color="auto" w:fill="7030A0"/>
            <w:tcMar>
              <w:top w:w="0" w:type="dxa"/>
              <w:left w:w="0" w:type="dxa"/>
              <w:bottom w:w="0" w:type="dxa"/>
              <w:right w:w="0" w:type="dxa"/>
            </w:tcMar>
            <w:vAlign w:val="center"/>
          </w:tcPr>
          <w:p>
            <w:pPr>
              <w:widowControl/>
              <w:jc w:val="center"/>
              <w:rPr>
                <w:rFonts w:ascii="Arial" w:hAnsi="Arial" w:cs="Arial"/>
                <w:b/>
                <w:bCs/>
                <w:color w:val="FFFFFF" w:themeColor="background1"/>
                <w:kern w:val="0"/>
                <w:sz w:val="24"/>
                <w14:textFill>
                  <w14:solidFill>
                    <w14:schemeClr w14:val="bg1"/>
                  </w14:solidFill>
                </w14:textFill>
              </w:rPr>
            </w:pPr>
            <w:r>
              <w:rPr>
                <w:rFonts w:hint="eastAsia" w:ascii="Arial" w:hAnsi="Arial" w:cs="Arial"/>
                <w:b/>
                <w:bCs/>
                <w:color w:val="FFFFFF" w:themeColor="background1"/>
                <w:kern w:val="0"/>
                <w:sz w:val="24"/>
                <w:lang w:val="en-US" w:eastAsia="zh-CN"/>
                <w14:textFill>
                  <w14:solidFill>
                    <w14:schemeClr w14:val="bg1"/>
                  </w14:solidFill>
                </w14:textFill>
              </w:rPr>
              <w:t>合同及法律风险防范以及危机公关应对</w:t>
            </w:r>
          </w:p>
        </w:tc>
      </w:tr>
      <w:tr>
        <w:tblPrEx>
          <w:tblLayout w:type="fixed"/>
          <w:tblCellMar>
            <w:top w:w="15" w:type="dxa"/>
            <w:left w:w="15" w:type="dxa"/>
            <w:bottom w:w="15" w:type="dxa"/>
            <w:right w:w="15" w:type="dxa"/>
          </w:tblCellMar>
        </w:tblPrEx>
        <w:trPr>
          <w:trHeight w:val="1543" w:hRule="atLeast"/>
          <w:tblCellSpacing w:w="15" w:type="dxa"/>
          <w:jc w:val="center"/>
        </w:trPr>
        <w:tc>
          <w:tcPr>
            <w:tcW w:w="4389" w:type="dxa"/>
            <w:tcBorders>
              <w:top w:val="single" w:color="auto" w:sz="0" w:space="0"/>
              <w:left w:val="inset" w:color="000000" w:sz="6"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公司法与合同法的要点及应用</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消除设计、撰写、签署等合同的风险</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仲裁、担保法的要点及应用</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刑法的防范及合理运用</w:t>
            </w:r>
          </w:p>
        </w:tc>
        <w:tc>
          <w:tcPr>
            <w:tcW w:w="4521" w:type="dxa"/>
            <w:tcBorders>
              <w:top w:val="single" w:color="auto" w:sz="0" w:space="0"/>
              <w:left w:val="single" w:color="auto" w:sz="0"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财务、法律危机及应对</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系统风险的认识和防范</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互联网金融及外汇风险的应对</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政策风险的危机及媒体应对</w:t>
            </w:r>
          </w:p>
        </w:tc>
      </w:tr>
      <w:tr>
        <w:tblPrEx>
          <w:tblLayout w:type="fixed"/>
          <w:tblCellMar>
            <w:top w:w="15" w:type="dxa"/>
            <w:left w:w="15" w:type="dxa"/>
            <w:bottom w:w="15" w:type="dxa"/>
            <w:right w:w="15" w:type="dxa"/>
          </w:tblCellMar>
        </w:tblPrEx>
        <w:trPr>
          <w:trHeight w:val="508" w:hRule="atLeast"/>
          <w:tblCellSpacing w:w="15" w:type="dxa"/>
          <w:jc w:val="center"/>
        </w:trPr>
        <w:tc>
          <w:tcPr>
            <w:tcW w:w="8940" w:type="dxa"/>
            <w:gridSpan w:val="2"/>
            <w:tcBorders>
              <w:top w:val="single" w:color="auto" w:sz="4" w:space="0"/>
              <w:left w:val="inset" w:color="000000" w:sz="6" w:space="0"/>
              <w:bottom w:val="single" w:color="auto" w:sz="4" w:space="0"/>
              <w:right w:val="inset" w:color="000000" w:sz="6" w:space="0"/>
            </w:tcBorders>
            <w:shd w:val="clear" w:color="auto" w:fill="7030A0"/>
            <w:tcMar>
              <w:top w:w="0" w:type="dxa"/>
              <w:left w:w="0" w:type="dxa"/>
              <w:bottom w:w="0" w:type="dxa"/>
              <w:right w:w="0" w:type="dxa"/>
            </w:tcMar>
            <w:vAlign w:val="center"/>
          </w:tcPr>
          <w:p>
            <w:pPr>
              <w:jc w:val="center"/>
              <w:rPr>
                <w:rFonts w:ascii="Arial" w:hAnsi="Arial" w:cs="Arial"/>
                <w:b/>
                <w:bCs/>
                <w:color w:val="FFFFFF" w:themeColor="background1"/>
                <w:kern w:val="0"/>
                <w:sz w:val="24"/>
                <w14:textFill>
                  <w14:solidFill>
                    <w14:schemeClr w14:val="bg1"/>
                  </w14:solidFill>
                </w14:textFill>
              </w:rPr>
            </w:pPr>
            <w:r>
              <w:rPr>
                <w:rFonts w:hint="eastAsia" w:ascii="Arial" w:hAnsi="Arial" w:cs="Arial"/>
                <w:b/>
                <w:bCs/>
                <w:color w:val="FFFFFF" w:themeColor="background1"/>
                <w:kern w:val="0"/>
                <w:sz w:val="24"/>
                <w:lang w:val="en-US" w:eastAsia="zh-CN"/>
                <w14:textFill>
                  <w14:solidFill>
                    <w14:schemeClr w14:val="bg1"/>
                  </w14:solidFill>
                </w14:textFill>
              </w:rPr>
              <w:t>政策的运用及产业基金设立运营</w:t>
            </w:r>
          </w:p>
        </w:tc>
      </w:tr>
      <w:tr>
        <w:tblPrEx>
          <w:tblLayout w:type="fixed"/>
          <w:tblCellMar>
            <w:top w:w="15" w:type="dxa"/>
            <w:left w:w="15" w:type="dxa"/>
            <w:bottom w:w="15" w:type="dxa"/>
            <w:right w:w="15" w:type="dxa"/>
          </w:tblCellMar>
        </w:tblPrEx>
        <w:trPr>
          <w:trHeight w:val="1574" w:hRule="atLeast"/>
          <w:tblCellSpacing w:w="15" w:type="dxa"/>
          <w:jc w:val="center"/>
        </w:trPr>
        <w:tc>
          <w:tcPr>
            <w:tcW w:w="4389" w:type="dxa"/>
            <w:tcBorders>
              <w:top w:val="single" w:color="auto" w:sz="4" w:space="0"/>
              <w:left w:val="inset" w:color="000000" w:sz="6" w:space="0"/>
              <w:bottom w:val="inset" w:color="000000" w:sz="6"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 xml:space="preserve">宏观经济分析与企业发展机遇 </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行业政策及优惠政策的享用</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国内外资本市场新液态与IPO鼓励和引导</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跨区域发展政策红利的利弊</w:t>
            </w:r>
          </w:p>
        </w:tc>
        <w:tc>
          <w:tcPr>
            <w:tcW w:w="4521" w:type="dxa"/>
            <w:tcBorders>
              <w:top w:val="single" w:color="auto" w:sz="4" w:space="0"/>
              <w:left w:val="single" w:color="auto" w:sz="0" w:space="0"/>
              <w:bottom w:val="inset" w:color="000000" w:sz="6"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私募股权投资基金的杠杆效应</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私募基金的设立模式和优劣比较</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企业承接私募投资的股权设计</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私募基金的产业生态效应</w:t>
            </w:r>
          </w:p>
        </w:tc>
      </w:tr>
      <w:tr>
        <w:tblPrEx>
          <w:tblLayout w:type="fixed"/>
          <w:tblCellMar>
            <w:top w:w="15" w:type="dxa"/>
            <w:left w:w="15" w:type="dxa"/>
            <w:bottom w:w="15" w:type="dxa"/>
            <w:right w:w="15" w:type="dxa"/>
          </w:tblCellMar>
        </w:tblPrEx>
        <w:trPr>
          <w:trHeight w:val="508" w:hRule="atLeast"/>
          <w:tblCellSpacing w:w="15" w:type="dxa"/>
          <w:jc w:val="center"/>
        </w:trPr>
        <w:tc>
          <w:tcPr>
            <w:tcW w:w="8940" w:type="dxa"/>
            <w:gridSpan w:val="2"/>
            <w:tcBorders>
              <w:top w:val="single" w:color="auto" w:sz="4" w:space="0"/>
              <w:left w:val="inset" w:color="000000" w:sz="6" w:space="0"/>
              <w:bottom w:val="single" w:color="auto" w:sz="4" w:space="0"/>
              <w:right w:val="inset" w:color="000000" w:sz="6" w:space="0"/>
            </w:tcBorders>
            <w:shd w:val="clear" w:color="auto" w:fill="7030A0"/>
            <w:tcMar>
              <w:top w:w="0" w:type="dxa"/>
              <w:left w:w="0" w:type="dxa"/>
              <w:bottom w:w="0" w:type="dxa"/>
              <w:right w:w="0" w:type="dxa"/>
            </w:tcMar>
            <w:vAlign w:val="center"/>
          </w:tcPr>
          <w:p>
            <w:pPr>
              <w:widowControl/>
              <w:jc w:val="center"/>
              <w:rPr>
                <w:rFonts w:ascii="Arial" w:hAnsi="Arial" w:cs="Arial"/>
                <w:b/>
                <w:bCs/>
                <w:color w:val="FFFFFF" w:themeColor="background1"/>
                <w:kern w:val="0"/>
                <w:sz w:val="24"/>
                <w14:textFill>
                  <w14:solidFill>
                    <w14:schemeClr w14:val="bg1"/>
                  </w14:solidFill>
                </w14:textFill>
              </w:rPr>
            </w:pPr>
            <w:r>
              <w:rPr>
                <w:rFonts w:hint="eastAsia" w:ascii="Arial" w:hAnsi="Arial" w:cs="Arial"/>
                <w:b/>
                <w:bCs/>
                <w:color w:val="FFFFFF" w:themeColor="background1"/>
                <w:kern w:val="0"/>
                <w:sz w:val="24"/>
                <w:lang w:val="en-US" w:eastAsia="zh-CN"/>
                <w14:textFill>
                  <w14:solidFill>
                    <w14:schemeClr w14:val="bg1"/>
                  </w14:solidFill>
                </w14:textFill>
              </w:rPr>
              <w:t>企业投融资路径与并购重组实务</w:t>
            </w:r>
          </w:p>
        </w:tc>
      </w:tr>
      <w:tr>
        <w:tblPrEx>
          <w:tblLayout w:type="fixed"/>
          <w:tblCellMar>
            <w:top w:w="15" w:type="dxa"/>
            <w:left w:w="15" w:type="dxa"/>
            <w:bottom w:w="15" w:type="dxa"/>
            <w:right w:w="15" w:type="dxa"/>
          </w:tblCellMar>
        </w:tblPrEx>
        <w:trPr>
          <w:trHeight w:val="1256" w:hRule="atLeast"/>
          <w:tblCellSpacing w:w="15" w:type="dxa"/>
          <w:jc w:val="center"/>
        </w:trPr>
        <w:tc>
          <w:tcPr>
            <w:tcW w:w="4389" w:type="dxa"/>
            <w:tcBorders>
              <w:top w:val="single" w:color="auto" w:sz="4" w:space="0"/>
              <w:left w:val="inset" w:color="000000" w:sz="6"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实业投资模式分析</w:t>
            </w:r>
            <w:r>
              <w:rPr>
                <w:rFonts w:hint="eastAsia" w:ascii="Arial" w:hAnsi="Arial" w:cs="Arial"/>
                <w:color w:val="000000"/>
                <w:kern w:val="0"/>
                <w:sz w:val="24"/>
                <w:lang w:val="en-US" w:eastAsia="zh-CN"/>
              </w:rPr>
              <w:br w:type="textWrapping"/>
            </w:r>
            <w:r>
              <w:rPr>
                <w:rFonts w:hint="eastAsia" w:ascii="Arial" w:hAnsi="Arial" w:cs="Arial"/>
                <w:color w:val="000000"/>
                <w:kern w:val="0"/>
                <w:sz w:val="24"/>
                <w:lang w:val="en-US" w:eastAsia="zh-CN"/>
              </w:rPr>
              <w:t>国内外资本市场与融资渠道</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金融市场与金融工具</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投融资策划实务与案例</w:t>
            </w:r>
          </w:p>
        </w:tc>
        <w:tc>
          <w:tcPr>
            <w:tcW w:w="4521" w:type="dxa"/>
            <w:tcBorders>
              <w:top w:val="single" w:color="auto" w:sz="4" w:space="0"/>
              <w:left w:val="single" w:color="auto" w:sz="0"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 xml:space="preserve">企业产权制度的变迁与制度改革   </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绝对控股与相对控股的杠杆工具</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并购重组机会识别及方案</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兼并、收购、重组与整合的财务控制</w:t>
            </w:r>
          </w:p>
        </w:tc>
      </w:tr>
      <w:tr>
        <w:tblPrEx>
          <w:tblLayout w:type="fixed"/>
          <w:tblCellMar>
            <w:top w:w="15" w:type="dxa"/>
            <w:left w:w="15" w:type="dxa"/>
            <w:bottom w:w="15" w:type="dxa"/>
            <w:right w:w="15" w:type="dxa"/>
          </w:tblCellMar>
        </w:tblPrEx>
        <w:trPr>
          <w:trHeight w:val="508" w:hRule="atLeast"/>
          <w:tblCellSpacing w:w="15" w:type="dxa"/>
          <w:jc w:val="center"/>
        </w:trPr>
        <w:tc>
          <w:tcPr>
            <w:tcW w:w="8940" w:type="dxa"/>
            <w:gridSpan w:val="2"/>
            <w:tcBorders>
              <w:top w:val="single" w:color="auto" w:sz="4" w:space="0"/>
              <w:left w:val="inset" w:color="000000" w:sz="6" w:space="0"/>
              <w:bottom w:val="single" w:color="auto" w:sz="4" w:space="0"/>
              <w:right w:val="inset" w:color="000000" w:sz="6" w:space="0"/>
            </w:tcBorders>
            <w:shd w:val="clear" w:color="auto" w:fill="7030A0"/>
            <w:tcMar>
              <w:top w:w="0" w:type="dxa"/>
              <w:left w:w="0" w:type="dxa"/>
              <w:bottom w:w="0" w:type="dxa"/>
              <w:right w:w="0" w:type="dxa"/>
            </w:tcMar>
            <w:vAlign w:val="center"/>
          </w:tcPr>
          <w:p>
            <w:pPr>
              <w:widowControl/>
              <w:jc w:val="center"/>
              <w:rPr>
                <w:rFonts w:ascii="Arial" w:hAnsi="Arial" w:cs="Arial"/>
                <w:b/>
                <w:bCs/>
                <w:color w:val="FFFFFF" w:themeColor="background1"/>
                <w:kern w:val="0"/>
                <w:sz w:val="24"/>
                <w14:textFill>
                  <w14:solidFill>
                    <w14:schemeClr w14:val="bg1"/>
                  </w14:solidFill>
                </w14:textFill>
              </w:rPr>
            </w:pPr>
            <w:r>
              <w:rPr>
                <w:rFonts w:hint="eastAsia" w:ascii="Arial" w:hAnsi="Arial" w:cs="Arial"/>
                <w:b/>
                <w:bCs/>
                <w:color w:val="FFFFFF" w:themeColor="background1"/>
                <w:kern w:val="0"/>
                <w:sz w:val="24"/>
                <w:lang w:val="en-US" w:eastAsia="zh-CN"/>
                <w14:textFill>
                  <w14:solidFill>
                    <w14:schemeClr w14:val="bg1"/>
                  </w14:solidFill>
                </w14:textFill>
              </w:rPr>
              <w:t>股权期权激励与公司治理</w:t>
            </w:r>
          </w:p>
        </w:tc>
      </w:tr>
      <w:tr>
        <w:tblPrEx>
          <w:tblLayout w:type="fixed"/>
          <w:tblCellMar>
            <w:top w:w="15" w:type="dxa"/>
            <w:left w:w="15" w:type="dxa"/>
            <w:bottom w:w="15" w:type="dxa"/>
            <w:right w:w="15" w:type="dxa"/>
          </w:tblCellMar>
        </w:tblPrEx>
        <w:trPr>
          <w:trHeight w:val="1256" w:hRule="atLeast"/>
          <w:tblCellSpacing w:w="15" w:type="dxa"/>
          <w:jc w:val="center"/>
        </w:trPr>
        <w:tc>
          <w:tcPr>
            <w:tcW w:w="4389" w:type="dxa"/>
            <w:tcBorders>
              <w:top w:val="single" w:color="auto" w:sz="4" w:space="0"/>
              <w:left w:val="inset" w:color="000000" w:sz="6"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企业股权结构设计</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期权的设计及期权与股权转化</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激励、绩效考核与约束机制</w:t>
            </w:r>
          </w:p>
        </w:tc>
        <w:tc>
          <w:tcPr>
            <w:tcW w:w="4521" w:type="dxa"/>
            <w:tcBorders>
              <w:top w:val="single" w:color="auto" w:sz="4" w:space="0"/>
              <w:left w:val="single" w:color="auto" w:sz="0"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产权制度和企业法人治理结构</w:t>
            </w:r>
            <w:r>
              <w:rPr>
                <w:rFonts w:hint="eastAsia" w:ascii="Arial" w:hAnsi="Arial" w:cs="Arial"/>
                <w:color w:val="000000"/>
                <w:kern w:val="0"/>
                <w:sz w:val="24"/>
                <w:lang w:val="en-US" w:eastAsia="zh-CN"/>
              </w:rPr>
              <w:br w:type="textWrapping"/>
            </w:r>
            <w:r>
              <w:rPr>
                <w:rFonts w:hint="eastAsia" w:ascii="Arial" w:hAnsi="Arial" w:cs="Arial"/>
                <w:color w:val="000000"/>
                <w:kern w:val="0"/>
                <w:sz w:val="24"/>
                <w:lang w:val="en-US" w:eastAsia="zh-CN"/>
              </w:rPr>
              <w:t>公司治理结构与财务控制体系</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公司治理结构及集团化发展</w:t>
            </w:r>
          </w:p>
        </w:tc>
      </w:tr>
      <w:tr>
        <w:tblPrEx>
          <w:tblLayout w:type="fixed"/>
          <w:tblCellMar>
            <w:top w:w="15" w:type="dxa"/>
            <w:left w:w="15" w:type="dxa"/>
            <w:bottom w:w="15" w:type="dxa"/>
            <w:right w:w="15" w:type="dxa"/>
          </w:tblCellMar>
        </w:tblPrEx>
        <w:trPr>
          <w:trHeight w:val="508" w:hRule="atLeast"/>
          <w:tblCellSpacing w:w="15" w:type="dxa"/>
          <w:jc w:val="center"/>
        </w:trPr>
        <w:tc>
          <w:tcPr>
            <w:tcW w:w="8940" w:type="dxa"/>
            <w:gridSpan w:val="2"/>
            <w:tcBorders>
              <w:top w:val="single" w:color="auto" w:sz="4" w:space="0"/>
              <w:left w:val="inset" w:color="000000" w:sz="6" w:space="0"/>
              <w:bottom w:val="single" w:color="auto" w:sz="4" w:space="0"/>
              <w:right w:val="inset" w:color="000000" w:sz="6" w:space="0"/>
            </w:tcBorders>
            <w:shd w:val="clear" w:color="auto" w:fill="7030A0"/>
            <w:tcMar>
              <w:top w:w="0" w:type="dxa"/>
              <w:left w:w="0" w:type="dxa"/>
              <w:bottom w:w="0" w:type="dxa"/>
              <w:right w:w="0" w:type="dxa"/>
            </w:tcMar>
            <w:vAlign w:val="center"/>
          </w:tcPr>
          <w:p>
            <w:pPr>
              <w:widowControl/>
              <w:jc w:val="center"/>
              <w:rPr>
                <w:rFonts w:ascii="Arial" w:hAnsi="Arial" w:cs="Arial"/>
                <w:b/>
                <w:bCs/>
                <w:color w:val="FFFFFF" w:themeColor="background1"/>
                <w:kern w:val="0"/>
                <w:sz w:val="24"/>
                <w14:textFill>
                  <w14:solidFill>
                    <w14:schemeClr w14:val="bg1"/>
                  </w14:solidFill>
                </w14:textFill>
              </w:rPr>
            </w:pPr>
            <w:r>
              <w:rPr>
                <w:rFonts w:hint="eastAsia" w:ascii="Arial" w:hAnsi="Arial" w:cs="Arial"/>
                <w:b/>
                <w:bCs/>
                <w:color w:val="FFFFFF" w:themeColor="background1"/>
                <w:kern w:val="0"/>
                <w:sz w:val="24"/>
                <w:lang w:val="en-US" w:eastAsia="zh-CN"/>
                <w14:textFill>
                  <w14:solidFill>
                    <w14:schemeClr w14:val="bg1"/>
                  </w14:solidFill>
                </w14:textFill>
              </w:rPr>
              <w:t>商业模式重构与企业融资计划书撰写及项目路演</w:t>
            </w:r>
          </w:p>
        </w:tc>
      </w:tr>
      <w:tr>
        <w:tblPrEx>
          <w:tblLayout w:type="fixed"/>
          <w:tblCellMar>
            <w:top w:w="15" w:type="dxa"/>
            <w:left w:w="15" w:type="dxa"/>
            <w:bottom w:w="15" w:type="dxa"/>
            <w:right w:w="15" w:type="dxa"/>
          </w:tblCellMar>
        </w:tblPrEx>
        <w:trPr>
          <w:trHeight w:val="1256" w:hRule="atLeast"/>
          <w:tblCellSpacing w:w="15" w:type="dxa"/>
          <w:jc w:val="center"/>
        </w:trPr>
        <w:tc>
          <w:tcPr>
            <w:tcW w:w="4389" w:type="dxa"/>
            <w:tcBorders>
              <w:top w:val="single" w:color="auto" w:sz="4" w:space="0"/>
              <w:left w:val="inset" w:color="000000" w:sz="6"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商业模式的作用与效果</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商业模式的护城河及壁垒设计</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投资人易懂可复制成长的好模式</w:t>
            </w:r>
          </w:p>
        </w:tc>
        <w:tc>
          <w:tcPr>
            <w:tcW w:w="4521" w:type="dxa"/>
            <w:tcBorders>
              <w:top w:val="single" w:color="auto" w:sz="4" w:space="0"/>
              <w:left w:val="single" w:color="auto" w:sz="0" w:space="0"/>
              <w:bottom w:val="single" w:color="auto" w:sz="4" w:space="0"/>
              <w:right w:val="inset" w:color="000000" w:sz="6" w:space="0"/>
            </w:tcBorders>
            <w:tcMar>
              <w:top w:w="0" w:type="dxa"/>
              <w:left w:w="0" w:type="dxa"/>
              <w:bottom w:w="0" w:type="dxa"/>
              <w:right w:w="0" w:type="dxa"/>
            </w:tcMar>
            <w:vAlign w:val="center"/>
          </w:tcPr>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市场规模测算和分析</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企业估值盈利点和商业模式的表述</w:t>
            </w:r>
          </w:p>
          <w:p>
            <w:pPr>
              <w:jc w:val="center"/>
              <w:rPr>
                <w:rFonts w:hint="eastAsia" w:ascii="Arial" w:hAnsi="Arial" w:cs="Arial"/>
                <w:color w:val="000000"/>
                <w:kern w:val="0"/>
                <w:sz w:val="24"/>
                <w:lang w:val="en-US" w:eastAsia="zh-CN"/>
              </w:rPr>
            </w:pPr>
            <w:r>
              <w:rPr>
                <w:rFonts w:hint="eastAsia" w:ascii="Arial" w:hAnsi="Arial" w:cs="Arial"/>
                <w:color w:val="000000"/>
                <w:kern w:val="0"/>
                <w:sz w:val="24"/>
                <w:lang w:val="en-US" w:eastAsia="zh-CN"/>
              </w:rPr>
              <w:t>路演的注意事项及投资人选项</w:t>
            </w:r>
          </w:p>
        </w:tc>
      </w:tr>
      <w:tr>
        <w:tblPrEx>
          <w:tblLayout w:type="fixed"/>
          <w:tblCellMar>
            <w:top w:w="15" w:type="dxa"/>
            <w:left w:w="15" w:type="dxa"/>
            <w:bottom w:w="15" w:type="dxa"/>
            <w:right w:w="15" w:type="dxa"/>
          </w:tblCellMar>
        </w:tblPrEx>
        <w:trPr>
          <w:trHeight w:val="508" w:hRule="atLeast"/>
          <w:tblCellSpacing w:w="15" w:type="dxa"/>
          <w:jc w:val="center"/>
        </w:trPr>
        <w:tc>
          <w:tcPr>
            <w:tcW w:w="8940" w:type="dxa"/>
            <w:gridSpan w:val="2"/>
            <w:tcBorders>
              <w:top w:val="single" w:color="auto" w:sz="4" w:space="0"/>
              <w:left w:val="inset" w:color="000000" w:sz="6" w:space="0"/>
              <w:bottom w:val="single" w:color="auto" w:sz="4" w:space="0"/>
              <w:right w:val="inset" w:color="000000" w:sz="6" w:space="0"/>
            </w:tcBorders>
            <w:shd w:val="clear" w:color="auto" w:fill="7030A0"/>
            <w:tcMar>
              <w:top w:w="0" w:type="dxa"/>
              <w:left w:w="0" w:type="dxa"/>
              <w:bottom w:w="0" w:type="dxa"/>
              <w:right w:w="0" w:type="dxa"/>
            </w:tcMar>
            <w:vAlign w:val="center"/>
          </w:tcPr>
          <w:p>
            <w:pPr>
              <w:widowControl/>
              <w:jc w:val="center"/>
              <w:rPr>
                <w:rFonts w:ascii="Arial" w:hAnsi="Arial" w:cs="Arial"/>
                <w:b/>
                <w:bCs/>
                <w:color w:val="FFFFFF" w:themeColor="background1"/>
                <w:kern w:val="0"/>
                <w:sz w:val="24"/>
                <w14:textFill>
                  <w14:solidFill>
                    <w14:schemeClr w14:val="bg1"/>
                  </w14:solidFill>
                </w14:textFill>
              </w:rPr>
            </w:pPr>
            <w:r>
              <w:rPr>
                <w:rFonts w:hint="eastAsia" w:ascii="Arial" w:hAnsi="Arial" w:cs="Arial"/>
                <w:b/>
                <w:bCs/>
                <w:color w:val="FFFFFF" w:themeColor="background1"/>
                <w:kern w:val="0"/>
                <w:sz w:val="24"/>
                <w:lang w:val="en-US" w:eastAsia="zh-CN"/>
                <w14:textFill>
                  <w14:solidFill>
                    <w14:schemeClr w14:val="bg1"/>
                  </w14:solidFill>
                </w14:textFill>
              </w:rPr>
              <w:t>年度论坛</w:t>
            </w:r>
          </w:p>
        </w:tc>
      </w:tr>
      <w:tr>
        <w:tblPrEx>
          <w:tblLayout w:type="fixed"/>
          <w:tblCellMar>
            <w:top w:w="15" w:type="dxa"/>
            <w:left w:w="15" w:type="dxa"/>
            <w:bottom w:w="15" w:type="dxa"/>
            <w:right w:w="15" w:type="dxa"/>
          </w:tblCellMar>
        </w:tblPrEx>
        <w:trPr>
          <w:trHeight w:val="989" w:hRule="atLeast"/>
          <w:tblCellSpacing w:w="15" w:type="dxa"/>
          <w:jc w:val="center"/>
        </w:trPr>
        <w:tc>
          <w:tcPr>
            <w:tcW w:w="8940" w:type="dxa"/>
            <w:gridSpan w:val="2"/>
            <w:tcBorders>
              <w:top w:val="single" w:color="auto" w:sz="4" w:space="0"/>
              <w:left w:val="inset" w:color="000000" w:sz="6" w:space="0"/>
              <w:bottom w:val="single" w:color="auto" w:sz="4" w:space="0"/>
              <w:right w:val="inset" w:color="000000" w:sz="6" w:space="0"/>
            </w:tcBorders>
            <w:tcMar>
              <w:top w:w="0" w:type="dxa"/>
              <w:left w:w="0" w:type="dxa"/>
              <w:bottom w:w="0" w:type="dxa"/>
              <w:right w:w="0" w:type="dxa"/>
            </w:tcMar>
            <w:vAlign w:val="center"/>
          </w:tcPr>
          <w:p>
            <w:pPr>
              <w:jc w:val="center"/>
              <w:rPr>
                <w:rFonts w:ascii="Arial" w:hAnsi="Arial" w:cs="Arial"/>
                <w:color w:val="000000"/>
                <w:kern w:val="0"/>
                <w:sz w:val="24"/>
              </w:rPr>
            </w:pPr>
            <w:r>
              <w:rPr>
                <w:rFonts w:hint="eastAsia" w:ascii="Arial" w:hAnsi="Arial" w:cs="Arial"/>
                <w:color w:val="000000"/>
                <w:kern w:val="0"/>
                <w:sz w:val="24"/>
                <w:lang w:val="en-US" w:eastAsia="zh-CN"/>
              </w:rPr>
              <w:t>投资策略分析  公司金融战略  领导力提升    拓展政治军事文化视野</w:t>
            </w:r>
          </w:p>
        </w:tc>
      </w:tr>
    </w:tbl>
    <w:p>
      <w:pPr>
        <w:jc w:val="left"/>
        <w:rPr>
          <w:sz w:val="24"/>
        </w:rPr>
      </w:pPr>
      <w:r>
        <w:rPr>
          <w:rFonts w:hint="eastAsia" w:ascii="方正大黑简体" w:hAnsi="方正大黑简体" w:eastAsia="方正大黑简体" w:cs="方正大黑简体"/>
          <w:b/>
          <w:bCs/>
          <w:i w:val="0"/>
          <w:iCs w:val="0"/>
          <w:color w:val="7030A0"/>
          <w:sz w:val="32"/>
          <w:szCs w:val="32"/>
          <w:lang w:val="en-US" w:eastAsia="zh-CN"/>
        </w:rPr>
        <w:t>【</w:t>
      </w:r>
      <w:r>
        <w:rPr>
          <w:rFonts w:hint="eastAsia" w:ascii="方正大黑简体" w:hAnsi="方正大黑简体" w:eastAsia="方正大黑简体" w:cs="方正大黑简体"/>
          <w:b/>
          <w:bCs/>
          <w:i w:val="0"/>
          <w:iCs w:val="0"/>
          <w:color w:val="7030A0"/>
          <w:sz w:val="32"/>
          <w:szCs w:val="32"/>
          <w:lang w:eastAsia="zh-CN"/>
        </w:rPr>
        <w:t>师资介绍】</w:t>
      </w:r>
    </w:p>
    <w:tbl>
      <w:tblPr>
        <w:tblStyle w:val="8"/>
        <w:tblpPr w:leftFromText="180" w:rightFromText="180" w:vertAnchor="text" w:horzAnchor="page" w:tblpX="1803" w:tblpY="207"/>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7"/>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00" w:type="dxa"/>
            <w:gridSpan w:val="2"/>
            <w:shd w:val="clear" w:color="auto" w:fill="7030A0"/>
            <w:vAlign w:val="center"/>
          </w:tcPr>
          <w:p>
            <w:pPr>
              <w:jc w:val="center"/>
            </w:pPr>
            <w:r>
              <w:rPr>
                <w:rFonts w:hint="eastAsia"/>
                <w:b/>
                <w:bCs/>
                <w:color w:val="FFFFFF" w:themeColor="background1"/>
                <w:sz w:val="28"/>
                <w:szCs w:val="28"/>
                <w14:textFill>
                  <w14:solidFill>
                    <w14:schemeClr w14:val="bg1"/>
                  </w14:solidFill>
                </w14:textFill>
              </w:rPr>
              <w:t>辅导老师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4337" w:type="dxa"/>
            <w:vAlign w:val="center"/>
          </w:tcPr>
          <w:p>
            <w:pPr>
              <w:spacing w:line="240" w:lineRule="auto"/>
              <w:rPr>
                <w:sz w:val="18"/>
                <w:szCs w:val="18"/>
              </w:rPr>
            </w:pPr>
            <w:r>
              <w:rPr>
                <w:rFonts w:hint="eastAsia" w:ascii="微软雅黑" w:hAnsi="微软雅黑" w:eastAsia="微软雅黑" w:cs="微软雅黑"/>
                <w:b/>
                <w:bCs/>
                <w:sz w:val="18"/>
                <w:szCs w:val="18"/>
              </w:rPr>
              <w:t>陈晋蓉：</w:t>
            </w:r>
            <w:r>
              <w:rPr>
                <w:rFonts w:hint="eastAsia" w:ascii="微软雅黑" w:hAnsi="微软雅黑" w:eastAsia="微软雅黑" w:cs="微软雅黑"/>
                <w:sz w:val="18"/>
                <w:szCs w:val="18"/>
              </w:rPr>
              <w:t>清华大学经济管理学院教师。研究方向：公司财务管理、上市公司财务报告分析、企业资本运营。</w:t>
            </w:r>
          </w:p>
        </w:tc>
        <w:tc>
          <w:tcPr>
            <w:tcW w:w="4363" w:type="dxa"/>
            <w:vAlign w:val="center"/>
          </w:tcPr>
          <w:p>
            <w:pPr>
              <w:spacing w:line="24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bCs/>
                <w:sz w:val="18"/>
                <w:szCs w:val="18"/>
                <w:lang w:val="en-US" w:eastAsia="zh-CN"/>
              </w:rPr>
              <w:t>肖  星：</w:t>
            </w:r>
            <w:r>
              <w:rPr>
                <w:rFonts w:hint="eastAsia" w:ascii="微软雅黑" w:hAnsi="微软雅黑" w:eastAsia="微软雅黑" w:cs="微软雅黑"/>
                <w:b w:val="0"/>
                <w:bCs w:val="0"/>
                <w:sz w:val="18"/>
                <w:szCs w:val="18"/>
                <w:lang w:val="en-US" w:eastAsia="zh-CN"/>
              </w:rPr>
              <w:t>清华大学经济管理学院会计系主任、副教授。</w:t>
            </w:r>
          </w:p>
          <w:p>
            <w:pPr>
              <w:rPr>
                <w:rFonts w:hint="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4337" w:type="dxa"/>
            <w:shd w:val="clear" w:color="auto" w:fill="FFFFFF" w:themeFill="background1"/>
            <w:vAlign w:val="center"/>
          </w:tcPr>
          <w:p>
            <w:pPr>
              <w:spacing w:line="24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bCs/>
                <w:sz w:val="18"/>
                <w:szCs w:val="18"/>
                <w:lang w:val="en-US" w:eastAsia="zh-CN"/>
              </w:rPr>
              <w:t>周  立：</w:t>
            </w:r>
            <w:r>
              <w:rPr>
                <w:rFonts w:hint="eastAsia" w:ascii="微软雅黑" w:hAnsi="微软雅黑" w:eastAsia="微软雅黑" w:cs="微软雅黑"/>
                <w:b w:val="0"/>
                <w:bCs w:val="0"/>
                <w:sz w:val="18"/>
                <w:szCs w:val="18"/>
                <w:lang w:val="en-US" w:eastAsia="zh-CN"/>
              </w:rPr>
              <w:t>清华大学经济管理学院会计系教授，研究方向：会计学、公共政策、研究。</w:t>
            </w:r>
          </w:p>
        </w:tc>
        <w:tc>
          <w:tcPr>
            <w:tcW w:w="4363" w:type="dxa"/>
            <w:shd w:val="clear" w:color="auto" w:fill="FFFFFF" w:themeFill="background1"/>
            <w:vAlign w:val="center"/>
          </w:tcPr>
          <w:p>
            <w:pPr>
              <w:spacing w:line="24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bCs/>
                <w:sz w:val="18"/>
                <w:szCs w:val="18"/>
                <w:lang w:val="en-US" w:eastAsia="zh-CN"/>
              </w:rPr>
              <w:t xml:space="preserve">李林立: </w:t>
            </w:r>
            <w:r>
              <w:rPr>
                <w:rFonts w:hint="eastAsia" w:ascii="微软雅黑" w:hAnsi="微软雅黑" w:eastAsia="微软雅黑" w:cs="微软雅黑"/>
                <w:b w:val="0"/>
                <w:bCs w:val="0"/>
                <w:sz w:val="18"/>
                <w:szCs w:val="18"/>
                <w:lang w:val="en-US" w:eastAsia="zh-CN"/>
              </w:rPr>
              <w:t>中原证券投资银行第六事业部业务总监、律师、内核委员、业务技术委委员。</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4337" w:type="dxa"/>
            <w:vAlign w:val="center"/>
          </w:tcPr>
          <w:p>
            <w:pPr>
              <w:spacing w:line="24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bCs/>
                <w:sz w:val="18"/>
                <w:szCs w:val="18"/>
                <w:lang w:val="en-US" w:eastAsia="zh-CN"/>
              </w:rPr>
              <w:t>马  力：</w:t>
            </w:r>
            <w:r>
              <w:rPr>
                <w:rFonts w:hint="eastAsia" w:ascii="微软雅黑" w:hAnsi="微软雅黑" w:eastAsia="微软雅黑" w:cs="微软雅黑"/>
                <w:b w:val="0"/>
                <w:bCs w:val="0"/>
                <w:sz w:val="18"/>
                <w:szCs w:val="18"/>
                <w:lang w:val="en-US" w:eastAsia="zh-CN"/>
              </w:rPr>
              <w:t>北京大学市场经济研究中心研究员，中国智慧城市研究院副院长，产业金融设计专家。</w:t>
            </w:r>
          </w:p>
          <w:p>
            <w:pPr>
              <w:rPr>
                <w:sz w:val="18"/>
                <w:szCs w:val="18"/>
              </w:rPr>
            </w:pPr>
          </w:p>
        </w:tc>
        <w:tc>
          <w:tcPr>
            <w:tcW w:w="4363" w:type="dxa"/>
            <w:vAlign w:val="center"/>
          </w:tcPr>
          <w:p>
            <w:pPr>
              <w:spacing w:line="240" w:lineRule="auto"/>
              <w:rPr>
                <w:sz w:val="18"/>
                <w:szCs w:val="18"/>
              </w:rPr>
            </w:pPr>
            <w:r>
              <w:rPr>
                <w:rFonts w:hint="eastAsia" w:ascii="微软雅黑" w:hAnsi="微软雅黑" w:eastAsia="微软雅黑" w:cs="微软雅黑"/>
                <w:b/>
                <w:bCs/>
                <w:sz w:val="18"/>
                <w:szCs w:val="18"/>
                <w:lang w:val="en-US" w:eastAsia="zh-CN"/>
              </w:rPr>
              <w:t>周  红：</w:t>
            </w:r>
            <w:r>
              <w:rPr>
                <w:rFonts w:hint="eastAsia" w:ascii="微软雅黑" w:hAnsi="微软雅黑" w:eastAsia="微软雅黑" w:cs="微软雅黑"/>
                <w:b w:val="0"/>
                <w:bCs w:val="0"/>
                <w:sz w:val="18"/>
                <w:szCs w:val="18"/>
                <w:lang w:val="en-US" w:eastAsia="zh-CN"/>
              </w:rPr>
              <w:t>北大纵横专家级顾问，嘉福诚投资公司合伙人，原外经贸大学中国资本运营研究中心副主任。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4337" w:type="dxa"/>
            <w:shd w:val="clear" w:color="auto" w:fill="FFFFFF" w:themeFill="background1"/>
            <w:vAlign w:val="center"/>
          </w:tcPr>
          <w:p>
            <w:pPr>
              <w:rPr>
                <w:sz w:val="18"/>
                <w:szCs w:val="18"/>
              </w:rPr>
            </w:pPr>
            <w:r>
              <w:rPr>
                <w:rFonts w:hint="eastAsia" w:ascii="微软雅黑" w:hAnsi="微软雅黑" w:eastAsia="微软雅黑" w:cs="微软雅黑"/>
                <w:b/>
                <w:bCs/>
                <w:sz w:val="18"/>
                <w:szCs w:val="18"/>
                <w:lang w:val="en-US" w:eastAsia="zh-CN"/>
              </w:rPr>
              <w:t>袁  立：</w:t>
            </w:r>
            <w:r>
              <w:rPr>
                <w:rFonts w:hint="eastAsia" w:ascii="微软雅黑" w:hAnsi="微软雅黑" w:eastAsia="微软雅黑" w:cs="微软雅黑"/>
                <w:b w:val="0"/>
                <w:bCs w:val="0"/>
                <w:sz w:val="18"/>
                <w:szCs w:val="18"/>
                <w:lang w:val="en-US" w:eastAsia="zh-CN"/>
              </w:rPr>
              <w:t>北京化工大学经济管理学院教授，资深投资银行家。</w:t>
            </w:r>
          </w:p>
        </w:tc>
        <w:tc>
          <w:tcPr>
            <w:tcW w:w="4363" w:type="dxa"/>
            <w:shd w:val="clear" w:color="auto" w:fill="FFFFFF" w:themeFill="background1"/>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bCs/>
                <w:sz w:val="18"/>
                <w:szCs w:val="18"/>
                <w:lang w:val="en-US" w:eastAsia="zh-CN"/>
              </w:rPr>
              <w:t>陆满平：</w:t>
            </w:r>
            <w:r>
              <w:rPr>
                <w:rFonts w:hint="eastAsia" w:ascii="微软雅黑" w:hAnsi="微软雅黑" w:eastAsia="微软雅黑" w:cs="微软雅黑"/>
                <w:b w:val="0"/>
                <w:bCs w:val="0"/>
                <w:sz w:val="18"/>
                <w:szCs w:val="18"/>
                <w:lang w:val="en-US" w:eastAsia="zh-CN"/>
              </w:rPr>
              <w:t>德邦证券首席经济学家兼投资银行总监。被媒体和业界誉为“中国MBO第一人”。</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4337" w:type="dxa"/>
            <w:vAlign w:val="center"/>
          </w:tcPr>
          <w:p>
            <w:pPr>
              <w:rPr>
                <w:sz w:val="18"/>
                <w:szCs w:val="18"/>
              </w:rPr>
            </w:pPr>
            <w:r>
              <w:rPr>
                <w:rFonts w:hint="eastAsia" w:ascii="微软雅黑" w:hAnsi="微软雅黑" w:eastAsia="微软雅黑" w:cs="微软雅黑"/>
                <w:b/>
                <w:bCs/>
                <w:sz w:val="18"/>
                <w:szCs w:val="18"/>
                <w:lang w:val="en-US" w:eastAsia="zh-CN"/>
              </w:rPr>
              <w:t>杨念祖：</w:t>
            </w:r>
            <w:r>
              <w:rPr>
                <w:rFonts w:hint="eastAsia" w:ascii="微软雅黑" w:hAnsi="微软雅黑" w:eastAsia="微软雅黑" w:cs="微软雅黑"/>
                <w:b w:val="0"/>
                <w:bCs w:val="0"/>
                <w:sz w:val="18"/>
                <w:szCs w:val="18"/>
                <w:lang w:val="en-US" w:eastAsia="zh-CN"/>
              </w:rPr>
              <w:t>中国注册会计师，著名的财务专家，实战派讲师，先后任多家大型企业财务经理副总经理。</w:t>
            </w:r>
          </w:p>
        </w:tc>
        <w:tc>
          <w:tcPr>
            <w:tcW w:w="4363" w:type="dxa"/>
            <w:vAlign w:val="center"/>
          </w:tcPr>
          <w:p>
            <w:pPr>
              <w:rPr>
                <w:sz w:val="18"/>
                <w:szCs w:val="18"/>
              </w:rPr>
            </w:pPr>
            <w:r>
              <w:rPr>
                <w:rFonts w:hint="eastAsia" w:ascii="微软雅黑" w:hAnsi="微软雅黑" w:eastAsia="微软雅黑" w:cs="微软雅黑"/>
                <w:b/>
                <w:bCs/>
                <w:sz w:val="18"/>
                <w:szCs w:val="18"/>
                <w:lang w:val="en-US" w:eastAsia="zh-CN"/>
              </w:rPr>
              <w:t>边志广：</w:t>
            </w:r>
            <w:r>
              <w:rPr>
                <w:rFonts w:hint="eastAsia" w:ascii="微软雅黑" w:hAnsi="微软雅黑" w:eastAsia="微软雅黑" w:cs="微软雅黑"/>
                <w:b w:val="0"/>
                <w:bCs w:val="0"/>
                <w:sz w:val="18"/>
                <w:szCs w:val="18"/>
                <w:lang w:val="en-US" w:eastAsia="zh-CN"/>
              </w:rPr>
              <w:t>中国注册税务师，现任中央财经大学特聘教授，北京财税研究院特约研究员。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4337" w:type="dxa"/>
            <w:vAlign w:val="center"/>
          </w:tcPr>
          <w:p>
            <w:pPr>
              <w:rPr>
                <w:rFonts w:hint="eastAsia"/>
                <w:b/>
                <w:bCs/>
                <w:sz w:val="18"/>
                <w:szCs w:val="18"/>
              </w:rPr>
            </w:pPr>
            <w:r>
              <w:rPr>
                <w:rFonts w:hint="eastAsia" w:ascii="微软雅黑" w:hAnsi="微软雅黑" w:eastAsia="微软雅黑" w:cs="微软雅黑"/>
                <w:b/>
                <w:bCs/>
                <w:sz w:val="18"/>
                <w:szCs w:val="18"/>
                <w:lang w:val="en-US" w:eastAsia="zh-CN"/>
              </w:rPr>
              <w:t>李  全：</w:t>
            </w:r>
            <w:r>
              <w:rPr>
                <w:rFonts w:hint="eastAsia" w:ascii="微软雅黑" w:hAnsi="微软雅黑" w:eastAsia="微软雅黑" w:cs="微软雅黑"/>
                <w:b w:val="0"/>
                <w:bCs w:val="0"/>
                <w:sz w:val="18"/>
                <w:szCs w:val="18"/>
                <w:lang w:val="en-US" w:eastAsia="zh-CN"/>
              </w:rPr>
              <w:t>财政部财科所博士后、研究员，中国财政学会绩效管理委员会执行秘书长。</w:t>
            </w:r>
          </w:p>
        </w:tc>
        <w:tc>
          <w:tcPr>
            <w:tcW w:w="4363" w:type="dxa"/>
            <w:vAlign w:val="center"/>
          </w:tcPr>
          <w:p>
            <w:pPr>
              <w:spacing w:line="240" w:lineRule="auto"/>
              <w:rPr>
                <w:rFonts w:hint="eastAsia"/>
                <w:b/>
                <w:bCs/>
                <w:sz w:val="18"/>
                <w:szCs w:val="18"/>
              </w:rPr>
            </w:pPr>
            <w:r>
              <w:rPr>
                <w:rFonts w:hint="eastAsia" w:ascii="微软雅黑" w:hAnsi="微软雅黑" w:eastAsia="微软雅黑" w:cs="微软雅黑"/>
                <w:b/>
                <w:bCs/>
                <w:sz w:val="18"/>
                <w:szCs w:val="18"/>
                <w:lang w:val="en-US" w:eastAsia="zh-CN"/>
              </w:rPr>
              <w:t>杜明堂：</w:t>
            </w:r>
            <w:r>
              <w:rPr>
                <w:rFonts w:hint="eastAsia" w:ascii="微软雅黑" w:hAnsi="微软雅黑" w:eastAsia="微软雅黑" w:cs="微软雅黑"/>
                <w:b w:val="0"/>
                <w:bCs w:val="0"/>
                <w:sz w:val="18"/>
                <w:szCs w:val="18"/>
                <w:lang w:val="en-US" w:eastAsia="zh-CN"/>
              </w:rPr>
              <w:t>洞见资本创始合伙人，原盛景网联合伙人帮助近300家企业成功挂牌新三板。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4337"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bCs/>
                <w:sz w:val="18"/>
                <w:szCs w:val="18"/>
                <w:lang w:val="en-US" w:eastAsia="zh-CN"/>
              </w:rPr>
              <w:t>俞  勤：</w:t>
            </w:r>
            <w:r>
              <w:rPr>
                <w:rFonts w:hint="eastAsia" w:ascii="微软雅黑" w:hAnsi="微软雅黑" w:eastAsia="微软雅黑" w:cs="微软雅黑"/>
                <w:b w:val="0"/>
                <w:bCs w:val="0"/>
                <w:sz w:val="18"/>
                <w:szCs w:val="18"/>
                <w:lang w:val="en-US" w:eastAsia="zh-CN"/>
              </w:rPr>
              <w:t>北京交通大学教授，博士生导师，注册会计师审计师，财政部会计准则委员会咨询专家。</w:t>
            </w:r>
          </w:p>
          <w:p>
            <w:pPr>
              <w:rPr>
                <w:rFonts w:hint="eastAsia" w:ascii="微软雅黑" w:hAnsi="微软雅黑" w:eastAsia="微软雅黑" w:cs="微软雅黑"/>
                <w:b/>
                <w:bCs/>
                <w:sz w:val="18"/>
                <w:szCs w:val="18"/>
                <w:lang w:val="en-US" w:eastAsia="zh-CN"/>
              </w:rPr>
            </w:pPr>
          </w:p>
        </w:tc>
        <w:tc>
          <w:tcPr>
            <w:tcW w:w="4363"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bCs/>
                <w:sz w:val="18"/>
                <w:szCs w:val="18"/>
                <w:lang w:val="en-US" w:eastAsia="zh-CN"/>
              </w:rPr>
              <w:t>李明英：</w:t>
            </w:r>
            <w:r>
              <w:rPr>
                <w:rFonts w:hint="eastAsia" w:ascii="微软雅黑" w:hAnsi="微软雅黑" w:eastAsia="微软雅黑" w:cs="微软雅黑"/>
                <w:b w:val="0"/>
                <w:bCs w:val="0"/>
                <w:sz w:val="18"/>
                <w:szCs w:val="18"/>
                <w:lang w:val="en-US" w:eastAsia="zh-CN"/>
              </w:rPr>
              <w:t>京科技大学经济管理学院经济与贸易系教授，研究生导师，清华</w:t>
            </w:r>
            <w:r>
              <w:rPr>
                <w:rFonts w:hint="eastAsia" w:ascii="微软雅黑" w:hAnsi="微软雅黑" w:eastAsia="微软雅黑" w:cs="微软雅黑"/>
                <w:b w:val="0"/>
                <w:bCs w:val="0"/>
                <w:sz w:val="18"/>
                <w:szCs w:val="18"/>
                <w:lang w:val="en-US" w:eastAsia="zh-CN"/>
              </w:rPr>
              <w:fldChar w:fldCharType="begin"/>
            </w:r>
            <w:r>
              <w:rPr>
                <w:rFonts w:hint="eastAsia" w:ascii="微软雅黑" w:hAnsi="微软雅黑" w:eastAsia="微软雅黑" w:cs="微软雅黑"/>
                <w:b w:val="0"/>
                <w:bCs w:val="0"/>
                <w:sz w:val="18"/>
                <w:szCs w:val="18"/>
                <w:lang w:val="en-US" w:eastAsia="zh-CN"/>
              </w:rPr>
              <w:instrText xml:space="preserve"> HYPERLINK "http://www.pkuu.cn/" \t "http://www.gototsinghua.org.cn/professor/guanli/_blank" </w:instrText>
            </w:r>
            <w:r>
              <w:rPr>
                <w:rFonts w:hint="eastAsia" w:ascii="微软雅黑" w:hAnsi="微软雅黑" w:eastAsia="微软雅黑" w:cs="微软雅黑"/>
                <w:b w:val="0"/>
                <w:bCs w:val="0"/>
                <w:sz w:val="18"/>
                <w:szCs w:val="18"/>
                <w:lang w:val="en-US" w:eastAsia="zh-CN"/>
              </w:rPr>
              <w:fldChar w:fldCharType="separate"/>
            </w:r>
            <w:r>
              <w:rPr>
                <w:rFonts w:hint="eastAsia" w:ascii="微软雅黑" w:hAnsi="微软雅黑" w:eastAsia="微软雅黑" w:cs="微软雅黑"/>
                <w:b w:val="0"/>
                <w:bCs w:val="0"/>
                <w:sz w:val="18"/>
                <w:szCs w:val="18"/>
                <w:lang w:val="en-US" w:eastAsia="zh-CN"/>
              </w:rPr>
              <w:t>北大</w:t>
            </w:r>
            <w:r>
              <w:rPr>
                <w:rFonts w:hint="eastAsia" w:ascii="微软雅黑" w:hAnsi="微软雅黑" w:eastAsia="微软雅黑" w:cs="微软雅黑"/>
                <w:b w:val="0"/>
                <w:bCs w:val="0"/>
                <w:sz w:val="18"/>
                <w:szCs w:val="18"/>
                <w:lang w:val="en-US" w:eastAsia="zh-CN"/>
              </w:rPr>
              <w:fldChar w:fldCharType="end"/>
            </w:r>
            <w:r>
              <w:rPr>
                <w:rFonts w:hint="eastAsia" w:ascii="微软雅黑" w:hAnsi="微软雅黑" w:eastAsia="微软雅黑" w:cs="微软雅黑"/>
                <w:b w:val="0"/>
                <w:bCs w:val="0"/>
                <w:sz w:val="18"/>
                <w:szCs w:val="18"/>
                <w:lang w:val="en-US" w:eastAsia="zh-CN"/>
              </w:rPr>
              <w:t>特聘教授。</w:t>
            </w:r>
          </w:p>
          <w:p>
            <w:pPr>
              <w:spacing w:line="240" w:lineRule="auto"/>
              <w:rPr>
                <w:rFonts w:hint="eastAsia" w:ascii="微软雅黑" w:hAnsi="微软雅黑" w:eastAsia="微软雅黑" w:cs="微软雅黑"/>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4337" w:type="dxa"/>
            <w:vAlign w:val="center"/>
          </w:tcPr>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张  涛：</w:t>
            </w:r>
            <w:r>
              <w:rPr>
                <w:rFonts w:hint="eastAsia" w:ascii="微软雅黑" w:hAnsi="微软雅黑" w:eastAsia="微软雅黑" w:cs="微软雅黑"/>
                <w:b w:val="0"/>
                <w:bCs w:val="0"/>
                <w:sz w:val="18"/>
                <w:szCs w:val="18"/>
                <w:lang w:val="en-US" w:eastAsia="zh-CN"/>
              </w:rPr>
              <w:t>中央电视台财经节目记者、制片人，专访千位国际政要和经济界领袖，专业权威。</w:t>
            </w:r>
          </w:p>
        </w:tc>
        <w:tc>
          <w:tcPr>
            <w:tcW w:w="4363" w:type="dxa"/>
            <w:vAlign w:val="center"/>
          </w:tcPr>
          <w:p>
            <w:pPr>
              <w:spacing w:line="240" w:lineRule="auto"/>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盛  磊：</w:t>
            </w:r>
            <w:r>
              <w:rPr>
                <w:rFonts w:hint="eastAsia" w:ascii="微软雅黑" w:hAnsi="微软雅黑" w:eastAsia="微软雅黑" w:cs="微软雅黑"/>
                <w:b w:val="0"/>
                <w:bCs w:val="0"/>
                <w:sz w:val="18"/>
                <w:szCs w:val="18"/>
                <w:lang w:val="en-US" w:eastAsia="zh-CN"/>
              </w:rPr>
              <w:t>国家信息中心综合部科研处处长，北京大学经济学硕士，财政部财政科学研究所博士。</w:t>
            </w:r>
          </w:p>
        </w:tc>
      </w:tr>
    </w:tbl>
    <w:p>
      <w:pPr>
        <w:spacing w:line="360" w:lineRule="auto"/>
        <w:jc w:val="left"/>
        <w:rPr>
          <w:rFonts w:hint="eastAsia" w:ascii="方正大黑简体" w:hAnsi="方正大黑简体" w:eastAsia="方正大黑简体" w:cs="方正大黑简体"/>
          <w:b/>
          <w:bCs/>
          <w:i w:val="0"/>
          <w:iCs w:val="0"/>
          <w:color w:val="7030A0"/>
          <w:sz w:val="32"/>
          <w:szCs w:val="32"/>
          <w:lang w:val="en-US" w:eastAsia="zh-CN"/>
        </w:rPr>
      </w:pPr>
    </w:p>
    <w:p>
      <w:pPr>
        <w:spacing w:line="360" w:lineRule="auto"/>
        <w:jc w:val="left"/>
        <w:rPr>
          <w:rFonts w:hint="eastAsia" w:ascii="方正大黑简体" w:hAnsi="方正大黑简体" w:eastAsia="方正大黑简体" w:cs="方正大黑简体"/>
          <w:b/>
          <w:bCs/>
          <w:i w:val="0"/>
          <w:iCs w:val="0"/>
          <w:color w:val="7030A0"/>
          <w:sz w:val="32"/>
          <w:szCs w:val="32"/>
          <w:lang w:val="en-US" w:eastAsia="zh-CN"/>
        </w:rPr>
      </w:pPr>
    </w:p>
    <w:p>
      <w:pPr>
        <w:spacing w:line="360" w:lineRule="auto"/>
        <w:jc w:val="left"/>
        <w:rPr>
          <w:rFonts w:hint="eastAsia" w:ascii="方正大黑简体" w:hAnsi="方正大黑简体" w:eastAsia="方正大黑简体" w:cs="方正大黑简体"/>
          <w:b/>
          <w:bCs/>
          <w:i w:val="0"/>
          <w:iCs w:val="0"/>
          <w:color w:val="7030A0"/>
          <w:sz w:val="32"/>
          <w:szCs w:val="32"/>
          <w:lang w:val="en-US" w:eastAsia="zh-CN"/>
        </w:rPr>
      </w:pPr>
    </w:p>
    <w:p>
      <w:pPr>
        <w:spacing w:line="360" w:lineRule="auto"/>
        <w:jc w:val="left"/>
        <w:rPr>
          <w:rFonts w:hint="eastAsia" w:ascii="方正大黑简体" w:hAnsi="方正大黑简体" w:eastAsia="方正大黑简体" w:cs="方正大黑简体"/>
          <w:b/>
          <w:bCs/>
          <w:i w:val="0"/>
          <w:iCs w:val="0"/>
          <w:color w:val="7030A0"/>
          <w:sz w:val="32"/>
          <w:szCs w:val="32"/>
          <w:lang w:val="en-US" w:eastAsia="zh-CN"/>
        </w:rPr>
      </w:pPr>
    </w:p>
    <w:p>
      <w:pPr>
        <w:spacing w:line="360" w:lineRule="auto"/>
        <w:jc w:val="left"/>
        <w:rPr>
          <w:rFonts w:hint="eastAsia" w:ascii="方正大黑简体" w:hAnsi="方正大黑简体" w:eastAsia="方正大黑简体" w:cs="方正大黑简体"/>
          <w:b/>
          <w:bCs/>
          <w:i w:val="0"/>
          <w:iCs w:val="0"/>
          <w:color w:val="7030A0"/>
          <w:sz w:val="32"/>
          <w:szCs w:val="32"/>
          <w:lang w:val="en-US" w:eastAsia="zh-CN"/>
        </w:rPr>
      </w:pPr>
    </w:p>
    <w:p>
      <w:pPr>
        <w:spacing w:line="360" w:lineRule="auto"/>
        <w:jc w:val="left"/>
        <w:rPr>
          <w:rFonts w:hint="eastAsia" w:ascii="方正大黑简体" w:hAnsi="方正大黑简体" w:eastAsia="方正大黑简体" w:cs="方正大黑简体"/>
          <w:b/>
          <w:bCs/>
          <w:i w:val="0"/>
          <w:iCs w:val="0"/>
          <w:color w:val="7030A0"/>
          <w:sz w:val="32"/>
          <w:szCs w:val="32"/>
          <w:lang w:val="en-US" w:eastAsia="zh-CN"/>
        </w:rPr>
      </w:pPr>
    </w:p>
    <w:p>
      <w:pPr>
        <w:spacing w:line="360" w:lineRule="auto"/>
        <w:ind w:firstLine="420" w:firstLineChars="200"/>
        <w:rPr>
          <w:rFonts w:hint="eastAsia" w:ascii="新宋体" w:hAnsi="新宋体" w:eastAsia="新宋体"/>
          <w:color w:val="000000"/>
          <w:kern w:val="0"/>
          <w:sz w:val="21"/>
          <w:szCs w:val="21"/>
          <w:lang w:val="en-US" w:eastAsia="zh-CN"/>
        </w:rPr>
      </w:pPr>
      <w:r>
        <w:rPr>
          <w:rFonts w:hint="eastAsia" w:ascii="新宋体" w:hAnsi="新宋体" w:eastAsia="新宋体"/>
          <w:color w:val="000000"/>
          <w:kern w:val="0"/>
          <w:sz w:val="21"/>
          <w:szCs w:val="21"/>
          <w:lang w:val="en-US" w:eastAsia="zh-CN"/>
        </w:rPr>
        <w:t>注注明：如上拟邀师资如有变动，调整后的老师将保持同一水平，解释权归优清商学院所有。</w:t>
      </w:r>
    </w:p>
    <w:p>
      <w:pPr>
        <w:jc w:val="left"/>
        <w:rPr>
          <w:rFonts w:hint="eastAsia" w:ascii="方正大黑简体" w:hAnsi="方正大黑简体" w:eastAsia="方正大黑简体" w:cs="方正大黑简体"/>
          <w:b/>
          <w:bCs/>
          <w:i w:val="0"/>
          <w:iCs w:val="0"/>
          <w:color w:val="7030A0"/>
          <w:sz w:val="32"/>
          <w:szCs w:val="32"/>
          <w:lang w:val="en-US" w:eastAsia="zh-CN"/>
        </w:rPr>
      </w:pPr>
      <w:r>
        <w:rPr>
          <w:rFonts w:hint="eastAsia" w:ascii="方正大黑简体" w:hAnsi="方正大黑简体" w:eastAsia="方正大黑简体" w:cs="方正大黑简体"/>
          <w:b/>
          <w:bCs/>
          <w:i w:val="0"/>
          <w:iCs w:val="0"/>
          <w:color w:val="7030A0"/>
          <w:sz w:val="32"/>
          <w:szCs w:val="32"/>
          <w:lang w:val="en-US" w:eastAsia="zh-CN"/>
        </w:rPr>
        <w:t>【课时安排】</w:t>
      </w:r>
    </w:p>
    <w:p>
      <w:pPr>
        <w:spacing w:line="360" w:lineRule="auto"/>
        <w:ind w:firstLine="600" w:firstLineChars="250"/>
        <w:rPr>
          <w:rFonts w:hint="eastAsia" w:ascii="方正大黑简体" w:hAnsi="方正大黑简体" w:eastAsia="方正大黑简体" w:cs="方正大黑简体"/>
          <w:b/>
          <w:bCs/>
          <w:i w:val="0"/>
          <w:iCs w:val="0"/>
          <w:color w:val="7030A0"/>
          <w:sz w:val="32"/>
          <w:szCs w:val="32"/>
          <w:lang w:val="en-US" w:eastAsia="zh-CN"/>
        </w:rPr>
      </w:pPr>
      <w:r>
        <w:rPr>
          <w:rFonts w:hint="eastAsia" w:ascii="新宋体" w:hAnsi="新宋体" w:eastAsia="新宋体" w:cs="新宋体"/>
          <w:sz w:val="24"/>
        </w:rPr>
        <w:t>学制</w:t>
      </w:r>
      <w:r>
        <w:rPr>
          <w:rFonts w:hint="eastAsia" w:ascii="新宋体" w:hAnsi="新宋体" w:eastAsia="新宋体" w:cs="新宋体"/>
          <w:sz w:val="24"/>
          <w:lang w:val="en-US" w:eastAsia="zh-CN"/>
        </w:rPr>
        <w:t>一年半</w:t>
      </w:r>
      <w:r>
        <w:rPr>
          <w:rFonts w:hint="eastAsia" w:ascii="新宋体" w:hAnsi="新宋体" w:eastAsia="新宋体" w:cs="新宋体"/>
          <w:sz w:val="24"/>
        </w:rPr>
        <w:t>，每两</w:t>
      </w:r>
      <w:r>
        <w:rPr>
          <w:rFonts w:hint="eastAsia" w:ascii="新宋体" w:hAnsi="新宋体" w:eastAsia="新宋体" w:cs="新宋体"/>
          <w:sz w:val="24"/>
          <w:lang w:val="en-US" w:eastAsia="zh-CN"/>
        </w:rPr>
        <w:t>个</w:t>
      </w:r>
      <w:r>
        <w:rPr>
          <w:rFonts w:hint="eastAsia" w:ascii="新宋体" w:hAnsi="新宋体" w:eastAsia="新宋体" w:cs="新宋体"/>
          <w:sz w:val="24"/>
        </w:rPr>
        <w:t>月集中学习</w:t>
      </w:r>
      <w:r>
        <w:rPr>
          <w:rFonts w:hint="eastAsia" w:ascii="新宋体" w:hAnsi="新宋体" w:eastAsia="新宋体" w:cs="新宋体"/>
          <w:sz w:val="24"/>
          <w:lang w:val="en-US" w:eastAsia="zh-CN"/>
        </w:rPr>
        <w:t>2</w:t>
      </w:r>
      <w:r>
        <w:rPr>
          <w:rFonts w:hint="eastAsia" w:ascii="新宋体" w:hAnsi="新宋体" w:eastAsia="新宋体" w:cs="新宋体"/>
          <w:sz w:val="24"/>
        </w:rPr>
        <w:t>天</w:t>
      </w: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周六日）</w:t>
      </w: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八次专业课加一次论坛共计18天（可复训）。</w:t>
      </w:r>
    </w:p>
    <w:p>
      <w:pPr>
        <w:spacing w:line="360" w:lineRule="auto"/>
        <w:rPr>
          <w:rFonts w:hint="eastAsia" w:ascii="方正大黑简体" w:hAnsi="方正大黑简体" w:eastAsia="方正大黑简体" w:cs="方正大黑简体"/>
          <w:b/>
          <w:bCs/>
          <w:i w:val="0"/>
          <w:iCs w:val="0"/>
          <w:color w:val="7030A0"/>
          <w:sz w:val="32"/>
          <w:szCs w:val="32"/>
          <w:lang w:val="en-US" w:eastAsia="zh-CN"/>
        </w:rPr>
      </w:pPr>
      <w:r>
        <w:rPr>
          <w:rFonts w:hint="eastAsia" w:ascii="方正大黑简体" w:hAnsi="方正大黑简体" w:eastAsia="方正大黑简体" w:cs="方正大黑简体"/>
          <w:b/>
          <w:bCs/>
          <w:i w:val="0"/>
          <w:iCs w:val="0"/>
          <w:color w:val="7030A0"/>
          <w:sz w:val="32"/>
          <w:szCs w:val="32"/>
          <w:lang w:val="en-US" w:eastAsia="zh-CN"/>
        </w:rPr>
        <w:t>【学费标准】</w:t>
      </w:r>
    </w:p>
    <w:p>
      <w:pPr>
        <w:spacing w:line="360" w:lineRule="auto"/>
        <w:ind w:firstLine="600" w:firstLineChars="250"/>
        <w:rPr>
          <w:rFonts w:hint="eastAsia" w:ascii="新宋体" w:hAnsi="新宋体" w:eastAsia="新宋体" w:cs="新宋体"/>
          <w:sz w:val="24"/>
          <w:lang w:eastAsia="zh-CN"/>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5.8万</w:t>
      </w:r>
      <w:r>
        <w:rPr>
          <w:rFonts w:hint="eastAsia" w:ascii="新宋体" w:hAnsi="新宋体" w:eastAsia="新宋体" w:cs="新宋体"/>
          <w:sz w:val="24"/>
        </w:rPr>
        <w:t>元/人</w:t>
      </w:r>
      <w:r>
        <w:rPr>
          <w:rFonts w:hint="eastAsia" w:ascii="新宋体" w:hAnsi="新宋体" w:eastAsia="新宋体" w:cs="新宋体"/>
          <w:sz w:val="24"/>
          <w:lang w:eastAsia="zh-CN"/>
        </w:rPr>
        <w:t>（本期特惠到</w:t>
      </w:r>
      <w:r>
        <w:rPr>
          <w:rFonts w:hint="eastAsia" w:ascii="新宋体" w:hAnsi="新宋体" w:eastAsia="新宋体" w:cs="新宋体"/>
          <w:sz w:val="24"/>
          <w:lang w:val="en-US" w:eastAsia="zh-CN"/>
        </w:rPr>
        <w:t>2</w:t>
      </w:r>
      <w:r>
        <w:rPr>
          <w:rFonts w:hint="eastAsia" w:ascii="新宋体" w:hAnsi="新宋体" w:eastAsia="新宋体" w:cs="新宋体"/>
          <w:sz w:val="24"/>
          <w:lang w:eastAsia="zh-CN"/>
        </w:rPr>
        <w:t>万</w:t>
      </w:r>
      <w:r>
        <w:rPr>
          <w:rFonts w:hint="eastAsia" w:ascii="新宋体" w:hAnsi="新宋体" w:eastAsia="新宋体" w:cs="新宋体"/>
          <w:sz w:val="24"/>
          <w:lang w:val="en-US" w:eastAsia="zh-CN"/>
        </w:rPr>
        <w:t>元</w:t>
      </w:r>
      <w:r>
        <w:rPr>
          <w:rFonts w:hint="eastAsia" w:ascii="新宋体" w:hAnsi="新宋体" w:eastAsia="新宋体" w:cs="新宋体"/>
          <w:sz w:val="24"/>
          <w:lang w:eastAsia="zh-CN"/>
        </w:rPr>
        <w:t>/人，含</w:t>
      </w:r>
      <w:r>
        <w:rPr>
          <w:rFonts w:hint="eastAsia" w:ascii="新宋体" w:hAnsi="新宋体" w:eastAsia="新宋体" w:cs="新宋体"/>
          <w:sz w:val="24"/>
          <w:lang w:val="en-US" w:eastAsia="zh-CN"/>
        </w:rPr>
        <w:t>学习期间</w:t>
      </w:r>
      <w:r>
        <w:rPr>
          <w:rFonts w:hint="eastAsia" w:ascii="新宋体" w:hAnsi="新宋体" w:eastAsia="新宋体" w:cs="新宋体"/>
          <w:sz w:val="24"/>
          <w:lang w:eastAsia="zh-CN"/>
        </w:rPr>
        <w:t>的教学、教材、</w:t>
      </w:r>
      <w:r>
        <w:rPr>
          <w:rFonts w:hint="eastAsia" w:ascii="新宋体" w:hAnsi="新宋体" w:eastAsia="新宋体" w:cs="新宋体"/>
          <w:sz w:val="24"/>
          <w:lang w:val="en-US" w:eastAsia="zh-CN"/>
        </w:rPr>
        <w:t>证书</w:t>
      </w:r>
      <w:r>
        <w:rPr>
          <w:rFonts w:hint="eastAsia" w:ascii="新宋体" w:hAnsi="新宋体" w:eastAsia="新宋体" w:cs="新宋体"/>
          <w:sz w:val="24"/>
          <w:lang w:eastAsia="zh-CN"/>
        </w:rPr>
        <w:t>、资料</w:t>
      </w:r>
      <w:r>
        <w:rPr>
          <w:rFonts w:hint="eastAsia" w:ascii="新宋体" w:hAnsi="新宋体" w:eastAsia="新宋体" w:cs="新宋体"/>
          <w:sz w:val="24"/>
          <w:lang w:val="en-US" w:eastAsia="zh-CN"/>
        </w:rPr>
        <w:t>等费用</w:t>
      </w:r>
      <w:r>
        <w:rPr>
          <w:rFonts w:hint="eastAsia" w:ascii="新宋体" w:hAnsi="新宋体" w:eastAsia="新宋体" w:cs="新宋体"/>
          <w:sz w:val="24"/>
          <w:lang w:eastAsia="zh-CN"/>
        </w:rPr>
        <w:t>，食宿交通费用自理）。</w:t>
      </w:r>
    </w:p>
    <w:p>
      <w:pPr>
        <w:spacing w:line="360" w:lineRule="auto"/>
        <w:ind w:firstLine="600" w:firstLineChars="250"/>
        <w:rPr>
          <w:rFonts w:hint="eastAsia" w:ascii="方正大黑简体" w:hAnsi="方正大黑简体" w:eastAsia="方正大黑简体" w:cs="方正大黑简体"/>
          <w:b/>
          <w:bCs/>
          <w:i w:val="0"/>
          <w:iCs w:val="0"/>
          <w:color w:val="7030A0"/>
          <w:sz w:val="32"/>
          <w:szCs w:val="32"/>
          <w:lang w:val="en-US" w:eastAsia="zh-CN"/>
        </w:rPr>
      </w:pPr>
      <w:r>
        <w:rPr>
          <w:rFonts w:hint="eastAsia" w:ascii="新宋体" w:hAnsi="新宋体" w:eastAsia="新宋体" w:cs="新宋体"/>
          <w:sz w:val="24"/>
          <w:lang w:eastAsia="zh-CN"/>
        </w:rPr>
        <w:t>收费方式：入学前由</w:t>
      </w:r>
      <w:r>
        <w:rPr>
          <w:rFonts w:hint="eastAsia" w:ascii="新宋体" w:hAnsi="新宋体" w:eastAsia="新宋体" w:cs="新宋体"/>
          <w:sz w:val="24"/>
          <w:lang w:val="en-US" w:eastAsia="zh-CN"/>
        </w:rPr>
        <w:t>优清商学院</w:t>
      </w:r>
      <w:r>
        <w:rPr>
          <w:rFonts w:hint="eastAsia" w:ascii="新宋体" w:hAnsi="新宋体" w:eastAsia="新宋体" w:cs="新宋体"/>
          <w:sz w:val="24"/>
          <w:lang w:eastAsia="zh-CN"/>
        </w:rPr>
        <w:t>财务部统一收取，学费到</w:t>
      </w:r>
      <w:r>
        <w:rPr>
          <w:rFonts w:hint="eastAsia" w:ascii="新宋体" w:hAnsi="新宋体" w:eastAsia="新宋体" w:cs="新宋体"/>
          <w:sz w:val="24"/>
          <w:lang w:val="en-US" w:eastAsia="zh-CN"/>
        </w:rPr>
        <w:t>账</w:t>
      </w:r>
      <w:r>
        <w:rPr>
          <w:rFonts w:hint="eastAsia" w:ascii="新宋体" w:hAnsi="新宋体" w:eastAsia="新宋体" w:cs="新宋体"/>
          <w:sz w:val="24"/>
          <w:lang w:eastAsia="zh-CN"/>
        </w:rPr>
        <w:t>后统一开具发票。</w:t>
      </w:r>
    </w:p>
    <w:p>
      <w:pPr>
        <w:jc w:val="left"/>
        <w:rPr>
          <w:rFonts w:hint="eastAsia" w:ascii="黑体" w:eastAsia="黑体" w:cs="黑体"/>
          <w:color w:val="A10798"/>
          <w:sz w:val="28"/>
          <w:szCs w:val="28"/>
        </w:rPr>
      </w:pPr>
      <w:r>
        <w:rPr>
          <w:rFonts w:hint="eastAsia" w:ascii="方正大黑简体" w:hAnsi="方正大黑简体" w:eastAsia="方正大黑简体" w:cs="方正大黑简体"/>
          <w:b/>
          <w:bCs/>
          <w:i w:val="0"/>
          <w:iCs w:val="0"/>
          <w:color w:val="7030A0"/>
          <w:sz w:val="32"/>
          <w:szCs w:val="32"/>
          <w:lang w:val="en-US" w:eastAsia="zh-CN"/>
        </w:rPr>
        <w:t>【上课地点】</w:t>
      </w:r>
      <w:r>
        <w:rPr>
          <w:rFonts w:hint="eastAsia" w:ascii="黑体" w:eastAsia="黑体" w:cs="黑体"/>
          <w:color w:val="A10798"/>
          <w:sz w:val="28"/>
          <w:szCs w:val="28"/>
        </w:rPr>
        <w:t xml:space="preserve"> </w:t>
      </w:r>
    </w:p>
    <w:p>
      <w:pPr>
        <w:spacing w:line="360" w:lineRule="auto"/>
        <w:ind w:firstLine="600" w:firstLineChars="250"/>
        <w:rPr>
          <w:rFonts w:hint="eastAsia" w:ascii="方正大黑简体" w:hAnsi="方正大黑简体" w:eastAsia="方正大黑简体" w:cs="方正大黑简体"/>
          <w:b/>
          <w:bCs/>
          <w:i w:val="0"/>
          <w:iCs w:val="0"/>
          <w:color w:val="7030A0"/>
          <w:sz w:val="32"/>
          <w:szCs w:val="32"/>
          <w:lang w:val="en-US" w:eastAsia="zh-CN"/>
        </w:rPr>
      </w:pPr>
      <w:r>
        <w:rPr>
          <w:rFonts w:hint="eastAsia" w:ascii="新宋体" w:hAnsi="新宋体" w:eastAsia="新宋体" w:cs="新宋体"/>
          <w:sz w:val="24"/>
          <w:lang w:val="en-US" w:eastAsia="zh-CN"/>
        </w:rPr>
        <w:t>清华大学</w:t>
      </w:r>
    </w:p>
    <w:p>
      <w:pPr>
        <w:jc w:val="left"/>
        <w:rPr>
          <w:rFonts w:hint="eastAsia" w:ascii="方正大黑简体" w:hAnsi="方正大黑简体" w:eastAsia="方正大黑简体" w:cs="方正大黑简体"/>
          <w:b/>
          <w:bCs/>
          <w:i w:val="0"/>
          <w:iCs w:val="0"/>
          <w:color w:val="7030A0"/>
          <w:sz w:val="32"/>
          <w:szCs w:val="32"/>
          <w:lang w:val="en-US" w:eastAsia="zh-CN"/>
        </w:rPr>
      </w:pPr>
      <w:r>
        <w:rPr>
          <w:rFonts w:hint="eastAsia" w:ascii="方正大黑简体" w:hAnsi="方正大黑简体" w:eastAsia="方正大黑简体" w:cs="方正大黑简体"/>
          <w:b/>
          <w:bCs/>
          <w:i w:val="0"/>
          <w:iCs w:val="0"/>
          <w:color w:val="7030A0"/>
          <w:sz w:val="32"/>
          <w:szCs w:val="32"/>
          <w:lang w:val="en-US" w:eastAsia="zh-CN"/>
        </w:rPr>
        <w:t>【联系电话】</w:t>
      </w:r>
    </w:p>
    <w:p>
      <w:pPr>
        <w:spacing w:line="360" w:lineRule="auto"/>
        <w:ind w:firstLine="600" w:firstLineChars="25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联系人：赵老师 15911037933（微信同号）                           </w:t>
      </w:r>
    </w:p>
    <w:p>
      <w:pPr>
        <w:spacing w:line="360" w:lineRule="auto"/>
        <w:ind w:firstLine="600" w:firstLineChars="250"/>
        <w:rPr>
          <w:rFonts w:hint="eastAsia" w:ascii="宋体" w:hAnsi="宋体"/>
          <w:sz w:val="24"/>
          <w:szCs w:val="24"/>
        </w:rPr>
      </w:pPr>
      <w:r>
        <w:rPr>
          <w:rFonts w:hint="eastAsia" w:ascii="新宋体" w:hAnsi="新宋体" w:eastAsia="新宋体" w:cs="新宋体"/>
          <w:sz w:val="24"/>
          <w:lang w:val="en-US" w:eastAsia="zh-CN"/>
        </w:rPr>
        <w:t xml:space="preserve">电  话：010-60531730  </w:t>
      </w:r>
      <w:r>
        <w:rPr>
          <w:rFonts w:hint="eastAsia" w:ascii="宋体" w:hAnsi="宋体"/>
          <w:sz w:val="24"/>
          <w:szCs w:val="24"/>
        </w:rPr>
        <w:t xml:space="preserve"> </w:t>
      </w:r>
    </w:p>
    <w:p>
      <w:pPr>
        <w:spacing w:line="360" w:lineRule="auto"/>
        <w:ind w:firstLine="600" w:firstLineChars="250"/>
        <w:rPr>
          <w:rFonts w:hint="eastAsia" w:ascii="宋体" w:hAnsi="宋体"/>
          <w:sz w:val="24"/>
          <w:szCs w:val="24"/>
          <w:lang w:val="en-US" w:eastAsia="zh-CN"/>
        </w:rPr>
      </w:pPr>
      <w:r>
        <w:rPr>
          <w:rFonts w:hint="eastAsia" w:ascii="宋体" w:hAnsi="宋体"/>
          <w:sz w:val="24"/>
          <w:szCs w:val="24"/>
          <w:lang w:val="en-US" w:eastAsia="zh-CN"/>
        </w:rPr>
        <w:t>邮  箱：</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"mailto:qinghuadaxueyx@163.com" </w:instrText>
      </w:r>
      <w:r>
        <w:rPr>
          <w:rFonts w:hint="eastAsia" w:ascii="宋体" w:hAnsi="宋体"/>
          <w:sz w:val="24"/>
          <w:szCs w:val="24"/>
          <w:lang w:val="en-US" w:eastAsia="zh-CN"/>
        </w:rPr>
        <w:fldChar w:fldCharType="separate"/>
      </w:r>
      <w:r>
        <w:rPr>
          <w:rStyle w:val="6"/>
          <w:rFonts w:hint="eastAsia" w:ascii="宋体" w:hAnsi="宋体"/>
          <w:sz w:val="24"/>
          <w:szCs w:val="24"/>
          <w:lang w:val="en-US" w:eastAsia="zh-CN"/>
        </w:rPr>
        <w:t>qinghuadaxueyx@163.com</w:t>
      </w:r>
      <w:r>
        <w:rPr>
          <w:rFonts w:hint="eastAsia" w:ascii="宋体" w:hAnsi="宋体"/>
          <w:sz w:val="24"/>
          <w:szCs w:val="24"/>
          <w:lang w:val="en-US" w:eastAsia="zh-CN"/>
        </w:rPr>
        <w:fldChar w:fldCharType="end"/>
      </w:r>
      <w:r>
        <w:rPr>
          <w:rFonts w:hint="eastAsia" w:ascii="宋体" w:hAnsi="宋体"/>
          <w:sz w:val="24"/>
          <w:szCs w:val="24"/>
          <w:lang w:val="en-US" w:eastAsia="zh-CN"/>
        </w:rPr>
        <w:t xml:space="preserve">    </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"mailto:2889303302@qq.com" </w:instrText>
      </w:r>
      <w:r>
        <w:rPr>
          <w:rFonts w:hint="eastAsia" w:ascii="宋体" w:hAnsi="宋体"/>
          <w:sz w:val="24"/>
          <w:szCs w:val="24"/>
          <w:lang w:val="en-US" w:eastAsia="zh-CN"/>
        </w:rPr>
        <w:fldChar w:fldCharType="separate"/>
      </w:r>
      <w:r>
        <w:rPr>
          <w:rStyle w:val="6"/>
          <w:rFonts w:hint="eastAsia" w:ascii="宋体" w:hAnsi="宋体"/>
          <w:sz w:val="24"/>
          <w:szCs w:val="24"/>
          <w:lang w:val="en-US" w:eastAsia="zh-CN"/>
        </w:rPr>
        <w:t>2889303302@qq.com</w:t>
      </w:r>
      <w:r>
        <w:rPr>
          <w:rFonts w:hint="eastAsia" w:ascii="宋体" w:hAnsi="宋体"/>
          <w:sz w:val="24"/>
          <w:szCs w:val="24"/>
          <w:lang w:val="en-US" w:eastAsia="zh-CN"/>
        </w:rPr>
        <w:fldChar w:fldCharType="end"/>
      </w:r>
      <w:r>
        <w:rPr>
          <w:rFonts w:hint="eastAsia" w:ascii="宋体" w:hAnsi="宋体"/>
          <w:sz w:val="24"/>
          <w:szCs w:val="24"/>
          <w:lang w:val="en-US" w:eastAsia="zh-CN"/>
        </w:rPr>
        <w:t xml:space="preserve">  </w:t>
      </w:r>
    </w:p>
    <w:p>
      <w:pPr>
        <w:spacing w:line="360" w:lineRule="auto"/>
        <w:ind w:firstLine="600" w:firstLineChars="250"/>
        <w:rPr>
          <w:rFonts w:hint="eastAsia" w:ascii="宋体" w:hAnsi="宋体"/>
          <w:sz w:val="24"/>
          <w:szCs w:val="24"/>
          <w:lang w:val="en-US" w:eastAsia="zh-CN"/>
        </w:rPr>
      </w:pPr>
    </w:p>
    <w:p>
      <w:pPr>
        <w:spacing w:line="360" w:lineRule="auto"/>
        <w:ind w:firstLine="600" w:firstLineChars="250"/>
        <w:rPr>
          <w:rFonts w:hint="eastAsia" w:ascii="宋体" w:hAnsi="宋体"/>
          <w:sz w:val="24"/>
          <w:szCs w:val="24"/>
          <w:lang w:val="en-US" w:eastAsia="zh-CN"/>
        </w:rPr>
      </w:pPr>
    </w:p>
    <w:p>
      <w:pPr>
        <w:spacing w:line="360" w:lineRule="auto"/>
        <w:ind w:firstLine="600" w:firstLineChars="250"/>
        <w:rPr>
          <w:rFonts w:hint="eastAsia" w:ascii="宋体" w:hAnsi="宋体"/>
          <w:sz w:val="24"/>
          <w:szCs w:val="24"/>
          <w:lang w:val="en-US" w:eastAsia="zh-CN"/>
        </w:rPr>
      </w:pPr>
    </w:p>
    <w:p>
      <w:pPr>
        <w:spacing w:line="360" w:lineRule="auto"/>
        <w:ind w:firstLine="600" w:firstLineChars="250"/>
        <w:rPr>
          <w:rFonts w:hint="eastAsia" w:ascii="宋体" w:hAnsi="宋体"/>
          <w:sz w:val="24"/>
          <w:szCs w:val="24"/>
          <w:lang w:val="en-US" w:eastAsia="zh-CN"/>
        </w:rPr>
      </w:pPr>
    </w:p>
    <w:p>
      <w:pPr>
        <w:jc w:val="center"/>
        <w:rPr>
          <w:rFonts w:hint="eastAsia" w:ascii="方正大黑简体" w:hAnsi="方正大黑简体" w:eastAsia="方正大黑简体" w:cs="方正大黑简体"/>
          <w:b/>
          <w:bCs/>
          <w:i w:val="0"/>
          <w:iCs w:val="0"/>
          <w:color w:val="7030A0"/>
          <w:sz w:val="48"/>
          <w:szCs w:val="48"/>
          <w:lang w:val="en-US" w:eastAsia="zh-CN"/>
        </w:rPr>
      </w:pPr>
    </w:p>
    <w:p>
      <w:pPr>
        <w:jc w:val="center"/>
        <w:rPr>
          <w:rFonts w:hint="eastAsia" w:ascii="方正大黑简体" w:hAnsi="方正大黑简体" w:eastAsia="方正大黑简体" w:cs="方正大黑简体"/>
          <w:b/>
          <w:bCs/>
          <w:i w:val="0"/>
          <w:iCs w:val="0"/>
          <w:color w:val="7030A0"/>
          <w:sz w:val="28"/>
          <w:szCs w:val="28"/>
          <w:lang w:val="en-US" w:eastAsia="zh-CN"/>
        </w:rPr>
      </w:pPr>
      <w:r>
        <w:rPr>
          <w:rFonts w:hint="eastAsia" w:ascii="方正大黑简体" w:hAnsi="方正大黑简体" w:eastAsia="方正大黑简体" w:cs="方正大黑简体"/>
          <w:b/>
          <w:bCs/>
          <w:i w:val="0"/>
          <w:iCs w:val="0"/>
          <w:color w:val="7030A0"/>
          <w:sz w:val="44"/>
          <w:szCs w:val="44"/>
          <w:lang w:val="en-US" w:eastAsia="zh-CN"/>
        </w:rPr>
        <w:t>新时代中国企业财务全面管理实战研修班</w:t>
      </w:r>
    </w:p>
    <w:p>
      <w:pPr>
        <w:spacing w:line="420" w:lineRule="auto"/>
        <w:jc w:val="center"/>
        <w:rPr>
          <w:rFonts w:hint="eastAsia" w:ascii="黑体" w:hAnsi="黑体" w:eastAsia="黑体"/>
          <w:sz w:val="32"/>
          <w:szCs w:val="32"/>
        </w:rPr>
      </w:pPr>
      <w:r>
        <w:rPr>
          <w:rFonts w:hint="eastAsia" w:ascii="黑体" w:hAnsi="黑体" w:eastAsia="黑体"/>
          <w:sz w:val="32"/>
          <w:szCs w:val="32"/>
        </w:rPr>
        <w:t>报名申请表</w:t>
      </w:r>
    </w:p>
    <w:tbl>
      <w:tblPr>
        <w:tblStyle w:val="8"/>
        <w:tblpPr w:leftFromText="180" w:rightFromText="180" w:vertAnchor="text" w:horzAnchor="page" w:tblpXSpec="center" w:tblpY="252"/>
        <w:tblOverlap w:val="never"/>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3"/>
        <w:gridCol w:w="555"/>
        <w:gridCol w:w="220"/>
        <w:gridCol w:w="1091"/>
        <w:gridCol w:w="681"/>
        <w:gridCol w:w="300"/>
        <w:gridCol w:w="1044"/>
        <w:gridCol w:w="1455"/>
        <w:gridCol w:w="23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89" w:type="dxa"/>
            <w:vMerge w:val="restart"/>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学员资料</w:t>
            </w:r>
          </w:p>
        </w:tc>
        <w:tc>
          <w:tcPr>
            <w:tcW w:w="1283"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姓名</w:t>
            </w:r>
          </w:p>
        </w:tc>
        <w:tc>
          <w:tcPr>
            <w:tcW w:w="775" w:type="dxa"/>
            <w:gridSpan w:val="2"/>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性别</w:t>
            </w:r>
          </w:p>
        </w:tc>
        <w:tc>
          <w:tcPr>
            <w:tcW w:w="1091"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职务</w:t>
            </w:r>
          </w:p>
        </w:tc>
        <w:tc>
          <w:tcPr>
            <w:tcW w:w="981" w:type="dxa"/>
            <w:gridSpan w:val="2"/>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学历</w:t>
            </w:r>
          </w:p>
        </w:tc>
        <w:tc>
          <w:tcPr>
            <w:tcW w:w="2737" w:type="dxa"/>
            <w:gridSpan w:val="3"/>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身份证号码</w:t>
            </w:r>
          </w:p>
        </w:tc>
        <w:tc>
          <w:tcPr>
            <w:tcW w:w="1644"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89" w:type="dxa"/>
            <w:vMerge w:val="continue"/>
            <w:vAlign w:val="center"/>
          </w:tcPr>
          <w:p>
            <w:pPr>
              <w:spacing w:line="420" w:lineRule="auto"/>
              <w:jc w:val="center"/>
              <w:rPr>
                <w:rFonts w:hint="eastAsia" w:ascii="楷体" w:hAnsi="楷体" w:eastAsia="楷体" w:cs="楷体"/>
                <w:b/>
                <w:bCs/>
                <w:sz w:val="24"/>
                <w:szCs w:val="24"/>
                <w:vertAlign w:val="baseline"/>
                <w:lang w:val="en-US" w:eastAsia="zh-CN"/>
              </w:rPr>
            </w:pP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89" w:type="dxa"/>
            <w:vMerge w:val="continue"/>
            <w:vAlign w:val="center"/>
          </w:tcPr>
          <w:p>
            <w:pPr>
              <w:spacing w:line="420" w:lineRule="auto"/>
              <w:jc w:val="center"/>
              <w:rPr>
                <w:rFonts w:hint="eastAsia" w:ascii="楷体" w:hAnsi="楷体" w:eastAsia="楷体" w:cs="楷体"/>
                <w:b/>
                <w:bCs/>
                <w:sz w:val="24"/>
                <w:szCs w:val="24"/>
                <w:vertAlign w:val="baseline"/>
                <w:lang w:val="en-US" w:eastAsia="zh-CN"/>
              </w:rPr>
            </w:pP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289" w:type="dxa"/>
            <w:vMerge w:val="continue"/>
            <w:vAlign w:val="center"/>
          </w:tcPr>
          <w:p>
            <w:pPr>
              <w:spacing w:line="420" w:lineRule="auto"/>
              <w:jc w:val="center"/>
              <w:rPr>
                <w:rFonts w:hint="eastAsia" w:ascii="楷体" w:hAnsi="楷体" w:eastAsia="楷体" w:cs="楷体"/>
                <w:b/>
                <w:bCs/>
                <w:sz w:val="24"/>
                <w:szCs w:val="24"/>
                <w:vertAlign w:val="baseline"/>
                <w:lang w:val="en-US" w:eastAsia="zh-CN"/>
              </w:rPr>
            </w:pP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指定联系</w:t>
            </w:r>
          </w:p>
        </w:tc>
        <w:tc>
          <w:tcPr>
            <w:tcW w:w="1283"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75"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91"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8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737"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644"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800" w:type="dxa"/>
            <w:gridSpan w:val="11"/>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单位名称</w:t>
            </w:r>
          </w:p>
        </w:tc>
        <w:tc>
          <w:tcPr>
            <w:tcW w:w="5174" w:type="dxa"/>
            <w:gridSpan w:val="7"/>
            <w:vAlign w:val="top"/>
          </w:tcPr>
          <w:p>
            <w:pPr>
              <w:spacing w:line="420" w:lineRule="auto"/>
              <w:jc w:val="center"/>
              <w:rPr>
                <w:rFonts w:hint="eastAsia" w:ascii="宋体" w:hAnsi="宋体" w:eastAsia="宋体" w:cs="宋体"/>
                <w:b/>
                <w:bCs/>
                <w:sz w:val="24"/>
                <w:szCs w:val="24"/>
                <w:vertAlign w:val="baseline"/>
                <w:lang w:val="en-US" w:eastAsia="zh-CN"/>
              </w:rPr>
            </w:pP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网址</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通讯地址</w:t>
            </w:r>
          </w:p>
        </w:tc>
        <w:tc>
          <w:tcPr>
            <w:tcW w:w="5174" w:type="dxa"/>
            <w:gridSpan w:val="7"/>
            <w:vAlign w:val="top"/>
          </w:tcPr>
          <w:p>
            <w:pPr>
              <w:spacing w:line="420" w:lineRule="auto"/>
              <w:jc w:val="center"/>
              <w:rPr>
                <w:rFonts w:hint="eastAsia" w:ascii="宋体" w:hAnsi="宋体" w:eastAsia="宋体" w:cs="宋体"/>
                <w:b/>
                <w:bCs/>
                <w:sz w:val="24"/>
                <w:szCs w:val="24"/>
                <w:vertAlign w:val="baseline"/>
                <w:lang w:val="en-US" w:eastAsia="zh-CN"/>
              </w:rPr>
            </w:pP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成立时间</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企业性质</w:t>
            </w:r>
          </w:p>
        </w:tc>
        <w:tc>
          <w:tcPr>
            <w:tcW w:w="5174" w:type="dxa"/>
            <w:gridSpan w:val="7"/>
            <w:vAlign w:val="top"/>
          </w:tcPr>
          <w:p>
            <w:pPr>
              <w:rPr>
                <w:rFonts w:hint="eastAsia" w:ascii="楷体" w:hAnsi="楷体" w:eastAsia="楷体" w:cs="楷体"/>
                <w:b/>
                <w:bCs/>
                <w:sz w:val="24"/>
                <w:szCs w:val="24"/>
                <w:vertAlign w:val="baseline"/>
                <w:lang w:val="en-US" w:eastAsia="zh-CN"/>
              </w:rPr>
            </w:pPr>
            <w:r>
              <w:rPr>
                <w:rFonts w:hint="eastAsia" w:ascii="宋体" w:hAnsi="宋体" w:eastAsia="宋体" w:cs="宋体"/>
                <w:b w:val="0"/>
                <w:bCs w:val="0"/>
                <w:sz w:val="24"/>
                <w:szCs w:val="24"/>
              </w:rPr>
              <w:t xml:space="preserve">□国营 □民营 □外商独资 □中外合资 其它（请注明） _______   </w:t>
            </w: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员工人数</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公司资产</w:t>
            </w:r>
          </w:p>
        </w:tc>
        <w:tc>
          <w:tcPr>
            <w:tcW w:w="1838" w:type="dxa"/>
            <w:gridSpan w:val="2"/>
            <w:vAlign w:val="top"/>
          </w:tcPr>
          <w:p>
            <w:pPr>
              <w:spacing w:line="420" w:lineRule="auto"/>
              <w:jc w:val="center"/>
              <w:rPr>
                <w:rFonts w:hint="eastAsia" w:ascii="楷体" w:hAnsi="楷体" w:eastAsia="楷体" w:cs="楷体"/>
                <w:b/>
                <w:bCs/>
                <w:sz w:val="24"/>
                <w:szCs w:val="24"/>
                <w:vertAlign w:val="baseline"/>
                <w:lang w:val="en-US" w:eastAsia="zh-CN"/>
              </w:rPr>
            </w:pPr>
          </w:p>
        </w:tc>
        <w:tc>
          <w:tcPr>
            <w:tcW w:w="1992" w:type="dxa"/>
            <w:gridSpan w:val="3"/>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年销售额</w:t>
            </w:r>
          </w:p>
        </w:tc>
        <w:tc>
          <w:tcPr>
            <w:tcW w:w="1344" w:type="dxa"/>
            <w:gridSpan w:val="2"/>
            <w:vAlign w:val="top"/>
          </w:tcPr>
          <w:p>
            <w:pPr>
              <w:spacing w:line="420" w:lineRule="auto"/>
              <w:jc w:val="center"/>
              <w:rPr>
                <w:rFonts w:hint="eastAsia" w:ascii="楷体" w:hAnsi="楷体" w:eastAsia="楷体" w:cs="楷体"/>
                <w:b/>
                <w:bCs/>
                <w:sz w:val="24"/>
                <w:szCs w:val="24"/>
                <w:vertAlign w:val="baseline"/>
                <w:lang w:val="en-US" w:eastAsia="zh-CN"/>
              </w:rPr>
            </w:pPr>
          </w:p>
        </w:tc>
        <w:tc>
          <w:tcPr>
            <w:tcW w:w="1455"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营业额</w:t>
            </w:r>
          </w:p>
        </w:tc>
        <w:tc>
          <w:tcPr>
            <w:tcW w:w="1882"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89" w:type="dxa"/>
            <w:vAlign w:val="center"/>
          </w:tcPr>
          <w:p>
            <w:pPr>
              <w:spacing w:line="24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企业经营范围</w:t>
            </w:r>
          </w:p>
        </w:tc>
        <w:tc>
          <w:tcPr>
            <w:tcW w:w="8511"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学习关注</w:t>
            </w:r>
          </w:p>
        </w:tc>
        <w:tc>
          <w:tcPr>
            <w:tcW w:w="8511"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289"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企业建议</w:t>
            </w:r>
          </w:p>
        </w:tc>
        <w:tc>
          <w:tcPr>
            <w:tcW w:w="8511"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289" w:type="dxa"/>
            <w:vAlign w:val="center"/>
          </w:tcPr>
          <w:p>
            <w:pPr>
              <w:spacing w:line="420" w:lineRule="auto"/>
              <w:jc w:val="both"/>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联系方式</w:t>
            </w:r>
          </w:p>
        </w:tc>
        <w:tc>
          <w:tcPr>
            <w:tcW w:w="8511" w:type="dxa"/>
            <w:gridSpan w:val="10"/>
            <w:vAlign w:val="center"/>
          </w:tcPr>
          <w:p>
            <w:pPr>
              <w:spacing w:line="360" w:lineRule="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联系人：赵老师 15911037933（微信同号）                           </w:t>
            </w:r>
          </w:p>
          <w:p>
            <w:pPr>
              <w:spacing w:line="360" w:lineRule="auto"/>
              <w:rPr>
                <w:rFonts w:hint="eastAsia" w:ascii="宋体" w:hAnsi="宋体"/>
                <w:sz w:val="24"/>
                <w:szCs w:val="24"/>
              </w:rPr>
            </w:pPr>
            <w:r>
              <w:rPr>
                <w:rFonts w:hint="eastAsia" w:ascii="新宋体" w:hAnsi="新宋体" w:eastAsia="新宋体" w:cs="新宋体"/>
                <w:sz w:val="24"/>
                <w:lang w:val="en-US" w:eastAsia="zh-CN"/>
              </w:rPr>
              <w:t xml:space="preserve">电  话：010-60531730  </w:t>
            </w:r>
            <w:r>
              <w:rPr>
                <w:rFonts w:hint="eastAsia" w:ascii="宋体" w:hAnsi="宋体"/>
                <w:sz w:val="24"/>
                <w:szCs w:val="24"/>
              </w:rPr>
              <w:t xml:space="preserve"> </w:t>
            </w:r>
          </w:p>
          <w:p>
            <w:pPr>
              <w:spacing w:line="420" w:lineRule="auto"/>
              <w:jc w:val="both"/>
              <w:rPr>
                <w:rFonts w:hint="eastAsia" w:ascii="宋体" w:hAnsi="宋体" w:eastAsia="宋体" w:cs="宋体"/>
                <w:b w:val="0"/>
                <w:bCs w:val="0"/>
                <w:sz w:val="24"/>
                <w:szCs w:val="24"/>
                <w:vertAlign w:val="baseline"/>
                <w:lang w:val="en-US" w:eastAsia="zh-CN"/>
              </w:rPr>
            </w:pPr>
            <w:bookmarkStart w:id="0" w:name="_GoBack"/>
            <w:bookmarkEnd w:id="0"/>
            <w:r>
              <w:rPr>
                <w:rFonts w:hint="eastAsia" w:ascii="宋体" w:hAnsi="宋体"/>
                <w:sz w:val="24"/>
                <w:szCs w:val="24"/>
                <w:lang w:val="en-US" w:eastAsia="zh-CN"/>
              </w:rPr>
              <w:t>邮  箱：</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"mailto:qinghuadaxueyx@163.com" </w:instrText>
            </w:r>
            <w:r>
              <w:rPr>
                <w:rFonts w:hint="eastAsia" w:ascii="宋体" w:hAnsi="宋体"/>
                <w:sz w:val="24"/>
                <w:szCs w:val="24"/>
                <w:lang w:val="en-US" w:eastAsia="zh-CN"/>
              </w:rPr>
              <w:fldChar w:fldCharType="separate"/>
            </w:r>
            <w:r>
              <w:rPr>
                <w:rStyle w:val="6"/>
                <w:rFonts w:hint="eastAsia" w:ascii="宋体" w:hAnsi="宋体"/>
                <w:sz w:val="24"/>
                <w:szCs w:val="24"/>
                <w:lang w:val="en-US" w:eastAsia="zh-CN"/>
              </w:rPr>
              <w:t>qinghuadaxueyx@163.com</w:t>
            </w:r>
            <w:r>
              <w:rPr>
                <w:rFonts w:hint="eastAsia" w:ascii="宋体" w:hAnsi="宋体"/>
                <w:sz w:val="24"/>
                <w:szCs w:val="24"/>
                <w:lang w:val="en-US" w:eastAsia="zh-CN"/>
              </w:rPr>
              <w:fldChar w:fldCharType="end"/>
            </w:r>
            <w:r>
              <w:rPr>
                <w:rFonts w:hint="eastAsia" w:ascii="宋体" w:hAnsi="宋体"/>
                <w:sz w:val="24"/>
                <w:szCs w:val="24"/>
                <w:lang w:val="en-US" w:eastAsia="zh-CN"/>
              </w:rPr>
              <w:t xml:space="preserve">    </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"mailto:2889303302@qq.com" </w:instrText>
            </w:r>
            <w:r>
              <w:rPr>
                <w:rFonts w:hint="eastAsia" w:ascii="宋体" w:hAnsi="宋体"/>
                <w:sz w:val="24"/>
                <w:szCs w:val="24"/>
                <w:lang w:val="en-US" w:eastAsia="zh-CN"/>
              </w:rPr>
              <w:fldChar w:fldCharType="separate"/>
            </w:r>
            <w:r>
              <w:rPr>
                <w:rStyle w:val="6"/>
                <w:rFonts w:hint="eastAsia" w:ascii="宋体" w:hAnsi="宋体"/>
                <w:sz w:val="24"/>
                <w:szCs w:val="24"/>
                <w:lang w:val="en-US" w:eastAsia="zh-CN"/>
              </w:rPr>
              <w:t>2889303302@qq.com</w:t>
            </w:r>
            <w:r>
              <w:rPr>
                <w:rFonts w:hint="eastAsia" w:ascii="宋体" w:hAnsi="宋体"/>
                <w:sz w:val="24"/>
                <w:szCs w:val="24"/>
                <w:lang w:val="en-US" w:eastAsia="zh-CN"/>
              </w:rPr>
              <w:fldChar w:fldCharType="end"/>
            </w:r>
          </w:p>
        </w:tc>
      </w:tr>
    </w:tbl>
    <w:p>
      <w:pPr>
        <w:spacing w:line="620" w:lineRule="exact"/>
        <w:ind w:right="-485" w:rightChars="-231"/>
        <w:rPr>
          <w:szCs w:val="21"/>
          <w:u w:val="single"/>
        </w:rPr>
      </w:pPr>
    </w:p>
    <w:sectPr>
      <w:headerReference r:id="rId3" w:type="default"/>
      <w:type w:val="continuous"/>
      <w:pgSz w:w="11906" w:h="16838"/>
      <w:pgMar w:top="1020" w:right="1134" w:bottom="10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5723890" cy="822325"/>
          <wp:effectExtent l="0" t="0" r="10160" b="15875"/>
          <wp:docPr id="1" name="图片 1" descr="财务班 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财务班 页眉"/>
                  <pic:cNvPicPr>
                    <a:picLocks noChangeAspect="1"/>
                  </pic:cNvPicPr>
                </pic:nvPicPr>
                <pic:blipFill>
                  <a:blip r:embed="rId1"/>
                  <a:stretch>
                    <a:fillRect/>
                  </a:stretch>
                </pic:blipFill>
                <pic:spPr>
                  <a:xfrm>
                    <a:off x="0" y="0"/>
                    <a:ext cx="5723890" cy="822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C5F"/>
    <w:multiLevelType w:val="multilevel"/>
    <w:tmpl w:val="12515C5F"/>
    <w:lvl w:ilvl="0" w:tentative="0">
      <w:start w:val="1"/>
      <w:numFmt w:val="bullet"/>
      <w:lvlText w:val=""/>
      <w:lvlJc w:val="left"/>
      <w:pPr>
        <w:tabs>
          <w:tab w:val="left" w:pos="1260"/>
        </w:tabs>
        <w:ind w:left="1260" w:hanging="420"/>
      </w:pPr>
      <w:rPr>
        <w:rFonts w:hint="default" w:ascii="Wingdings" w:hAnsi="Wingdings"/>
        <w:color w:val="000000"/>
      </w:rPr>
    </w:lvl>
    <w:lvl w:ilvl="1" w:tentative="0">
      <w:start w:val="1"/>
      <w:numFmt w:val="decimal"/>
      <w:lvlText w:val="%2."/>
      <w:lvlJc w:val="left"/>
      <w:pPr>
        <w:tabs>
          <w:tab w:val="left" w:pos="840"/>
        </w:tabs>
        <w:ind w:left="840" w:hanging="420"/>
      </w:pPr>
      <w:rPr>
        <w:rFonts w:hint="default"/>
        <w:color w:val="00000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80896"/>
    <w:rsid w:val="001B6B0C"/>
    <w:rsid w:val="001E01AC"/>
    <w:rsid w:val="00247EDE"/>
    <w:rsid w:val="002C7605"/>
    <w:rsid w:val="003F6105"/>
    <w:rsid w:val="00457FB8"/>
    <w:rsid w:val="00681C44"/>
    <w:rsid w:val="00885B19"/>
    <w:rsid w:val="00915F2F"/>
    <w:rsid w:val="009E72B5"/>
    <w:rsid w:val="00A82B06"/>
    <w:rsid w:val="00F90820"/>
    <w:rsid w:val="01020886"/>
    <w:rsid w:val="021777DF"/>
    <w:rsid w:val="02C25DD5"/>
    <w:rsid w:val="02D83974"/>
    <w:rsid w:val="033466E5"/>
    <w:rsid w:val="035E322F"/>
    <w:rsid w:val="039E1448"/>
    <w:rsid w:val="044412AD"/>
    <w:rsid w:val="047E43BF"/>
    <w:rsid w:val="04C64DFC"/>
    <w:rsid w:val="068B04C3"/>
    <w:rsid w:val="075B59AD"/>
    <w:rsid w:val="0765193B"/>
    <w:rsid w:val="08F36480"/>
    <w:rsid w:val="093A06A7"/>
    <w:rsid w:val="09625141"/>
    <w:rsid w:val="09B049E3"/>
    <w:rsid w:val="09E94439"/>
    <w:rsid w:val="09F633A3"/>
    <w:rsid w:val="0B5B63E5"/>
    <w:rsid w:val="0D573DCB"/>
    <w:rsid w:val="0DD2032F"/>
    <w:rsid w:val="0F0575A7"/>
    <w:rsid w:val="0F962391"/>
    <w:rsid w:val="0FB12E70"/>
    <w:rsid w:val="10222008"/>
    <w:rsid w:val="10275198"/>
    <w:rsid w:val="10393BA8"/>
    <w:rsid w:val="10490BCF"/>
    <w:rsid w:val="1051167A"/>
    <w:rsid w:val="10523CCB"/>
    <w:rsid w:val="116E4880"/>
    <w:rsid w:val="11B265BB"/>
    <w:rsid w:val="11F91F9B"/>
    <w:rsid w:val="12722E90"/>
    <w:rsid w:val="12855965"/>
    <w:rsid w:val="12E47CEC"/>
    <w:rsid w:val="138B5FB5"/>
    <w:rsid w:val="147E0768"/>
    <w:rsid w:val="15C8733D"/>
    <w:rsid w:val="160B41A4"/>
    <w:rsid w:val="16D54010"/>
    <w:rsid w:val="171E3BE5"/>
    <w:rsid w:val="1802612F"/>
    <w:rsid w:val="193C04D4"/>
    <w:rsid w:val="19D135A9"/>
    <w:rsid w:val="1A5707D6"/>
    <w:rsid w:val="1AD152BC"/>
    <w:rsid w:val="1C280896"/>
    <w:rsid w:val="1CC37563"/>
    <w:rsid w:val="1CD87387"/>
    <w:rsid w:val="1DA50F3B"/>
    <w:rsid w:val="1EBB775F"/>
    <w:rsid w:val="20414298"/>
    <w:rsid w:val="216C3B78"/>
    <w:rsid w:val="217D12D0"/>
    <w:rsid w:val="22171BA9"/>
    <w:rsid w:val="22176E3F"/>
    <w:rsid w:val="222861E1"/>
    <w:rsid w:val="23F74668"/>
    <w:rsid w:val="25620F6F"/>
    <w:rsid w:val="270815D2"/>
    <w:rsid w:val="27321FCF"/>
    <w:rsid w:val="27A43859"/>
    <w:rsid w:val="281900EC"/>
    <w:rsid w:val="28C5086E"/>
    <w:rsid w:val="2A940673"/>
    <w:rsid w:val="2A9A2C3C"/>
    <w:rsid w:val="2B405B52"/>
    <w:rsid w:val="2BB50D87"/>
    <w:rsid w:val="2BCB3DCF"/>
    <w:rsid w:val="2BEF79AA"/>
    <w:rsid w:val="2C3A0570"/>
    <w:rsid w:val="2CF94EEA"/>
    <w:rsid w:val="2D2808DC"/>
    <w:rsid w:val="2D8E5EFF"/>
    <w:rsid w:val="2E047393"/>
    <w:rsid w:val="2E251648"/>
    <w:rsid w:val="2F263FE6"/>
    <w:rsid w:val="2F7A1022"/>
    <w:rsid w:val="2F7F0902"/>
    <w:rsid w:val="30F962FD"/>
    <w:rsid w:val="31A028D2"/>
    <w:rsid w:val="32001F22"/>
    <w:rsid w:val="321B1A82"/>
    <w:rsid w:val="32D1788A"/>
    <w:rsid w:val="331E57F9"/>
    <w:rsid w:val="34815288"/>
    <w:rsid w:val="34F87038"/>
    <w:rsid w:val="353158BE"/>
    <w:rsid w:val="3751225B"/>
    <w:rsid w:val="394359F9"/>
    <w:rsid w:val="397C54E6"/>
    <w:rsid w:val="3A99598E"/>
    <w:rsid w:val="3CB42609"/>
    <w:rsid w:val="3D327430"/>
    <w:rsid w:val="3D984B1D"/>
    <w:rsid w:val="3E3D1900"/>
    <w:rsid w:val="3F17607E"/>
    <w:rsid w:val="3F2D25B6"/>
    <w:rsid w:val="40187AB4"/>
    <w:rsid w:val="42F115D3"/>
    <w:rsid w:val="433F10C9"/>
    <w:rsid w:val="456804AB"/>
    <w:rsid w:val="45B727C6"/>
    <w:rsid w:val="46204764"/>
    <w:rsid w:val="466101E1"/>
    <w:rsid w:val="46B261D0"/>
    <w:rsid w:val="46D30BA2"/>
    <w:rsid w:val="473B65A9"/>
    <w:rsid w:val="4841575E"/>
    <w:rsid w:val="48A076E0"/>
    <w:rsid w:val="49974045"/>
    <w:rsid w:val="49A9456E"/>
    <w:rsid w:val="49AB439F"/>
    <w:rsid w:val="4A095B99"/>
    <w:rsid w:val="4A2E77DB"/>
    <w:rsid w:val="4A397464"/>
    <w:rsid w:val="4AC51651"/>
    <w:rsid w:val="4B0B64A6"/>
    <w:rsid w:val="4BA73A4E"/>
    <w:rsid w:val="4BC459C9"/>
    <w:rsid w:val="4BDD652B"/>
    <w:rsid w:val="4C0448DC"/>
    <w:rsid w:val="4C671EB1"/>
    <w:rsid w:val="4CA90757"/>
    <w:rsid w:val="4D525FF1"/>
    <w:rsid w:val="4D934272"/>
    <w:rsid w:val="4E376776"/>
    <w:rsid w:val="4E59386C"/>
    <w:rsid w:val="4F5941EC"/>
    <w:rsid w:val="50B13D0C"/>
    <w:rsid w:val="50E369D9"/>
    <w:rsid w:val="522B33D7"/>
    <w:rsid w:val="5232612B"/>
    <w:rsid w:val="52413574"/>
    <w:rsid w:val="52416A02"/>
    <w:rsid w:val="54BA0AFB"/>
    <w:rsid w:val="553107F9"/>
    <w:rsid w:val="55775991"/>
    <w:rsid w:val="559462C4"/>
    <w:rsid w:val="571F4CE2"/>
    <w:rsid w:val="57C809D8"/>
    <w:rsid w:val="57E73F93"/>
    <w:rsid w:val="59F253AA"/>
    <w:rsid w:val="5A82494A"/>
    <w:rsid w:val="5DB03D0A"/>
    <w:rsid w:val="5DD12812"/>
    <w:rsid w:val="5E9B23FC"/>
    <w:rsid w:val="6078765A"/>
    <w:rsid w:val="626E32BE"/>
    <w:rsid w:val="62E96AB5"/>
    <w:rsid w:val="639962A5"/>
    <w:rsid w:val="64761F5B"/>
    <w:rsid w:val="64806F9D"/>
    <w:rsid w:val="64E64710"/>
    <w:rsid w:val="665C2A13"/>
    <w:rsid w:val="6781091A"/>
    <w:rsid w:val="68065F18"/>
    <w:rsid w:val="697A37CF"/>
    <w:rsid w:val="6ADD639B"/>
    <w:rsid w:val="6AF14CD7"/>
    <w:rsid w:val="6B0832C3"/>
    <w:rsid w:val="6B212282"/>
    <w:rsid w:val="6B2A11B8"/>
    <w:rsid w:val="6B2F2227"/>
    <w:rsid w:val="6B8165E3"/>
    <w:rsid w:val="6BE91305"/>
    <w:rsid w:val="6BF63109"/>
    <w:rsid w:val="6C592260"/>
    <w:rsid w:val="6E1D7054"/>
    <w:rsid w:val="6FC653B2"/>
    <w:rsid w:val="70256643"/>
    <w:rsid w:val="70532D6E"/>
    <w:rsid w:val="71484B9B"/>
    <w:rsid w:val="722F27A2"/>
    <w:rsid w:val="72D46DBB"/>
    <w:rsid w:val="73B43545"/>
    <w:rsid w:val="73CD2D7E"/>
    <w:rsid w:val="741851A5"/>
    <w:rsid w:val="74585CFB"/>
    <w:rsid w:val="74EA44FC"/>
    <w:rsid w:val="761D01EB"/>
    <w:rsid w:val="76252C33"/>
    <w:rsid w:val="766A22F9"/>
    <w:rsid w:val="76A36A92"/>
    <w:rsid w:val="76C3522F"/>
    <w:rsid w:val="7724435C"/>
    <w:rsid w:val="776815F2"/>
    <w:rsid w:val="7A323775"/>
    <w:rsid w:val="7A4D3CB9"/>
    <w:rsid w:val="7A5A0D6A"/>
    <w:rsid w:val="7AF47F09"/>
    <w:rsid w:val="7BF52027"/>
    <w:rsid w:val="7C371A55"/>
    <w:rsid w:val="7CD52434"/>
    <w:rsid w:val="7D82397B"/>
    <w:rsid w:val="7F2B3711"/>
    <w:rsid w:val="7FDA1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135brush"/>
    <w:basedOn w:val="5"/>
    <w:qFormat/>
    <w:uiPriority w:val="0"/>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491</Words>
  <Characters>2799</Characters>
  <Lines>23</Lines>
  <Paragraphs>6</Paragraphs>
  <ScaleCrop>false</ScaleCrop>
  <LinksUpToDate>false</LinksUpToDate>
  <CharactersWithSpaces>3284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2017-04-12T12:01:00Z</dcterms:created>
  <dc:creator>Administrator</dc:creator>
  <cp:lastModifiedBy>Administrator</cp:lastModifiedBy>
  <dcterms:modified xsi:type="dcterms:W3CDTF">2018-04-28T03:31:36Z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